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911"/>
        <w:gridCol w:w="767"/>
        <w:gridCol w:w="1149"/>
        <w:gridCol w:w="387"/>
        <w:gridCol w:w="1535"/>
        <w:gridCol w:w="63"/>
        <w:gridCol w:w="708"/>
        <w:gridCol w:w="2303"/>
      </w:tblGrid>
      <w:tr w:rsidR="002102D2" w:rsidRPr="00B362BA" w14:paraId="51920A99" w14:textId="77777777" w:rsidTr="00F92BD9">
        <w:tc>
          <w:tcPr>
            <w:tcW w:w="92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3AA9D4" w14:textId="77777777" w:rsidR="002102D2" w:rsidRPr="00B362BA" w:rsidRDefault="002102D2" w:rsidP="00F92BD9">
            <w:pPr>
              <w:rPr>
                <w:b/>
                <w:sz w:val="28"/>
              </w:rPr>
            </w:pPr>
            <w:r w:rsidRPr="00B362BA">
              <w:rPr>
                <w:b/>
                <w:sz w:val="28"/>
              </w:rPr>
              <w:t>Základné údaje</w:t>
            </w:r>
          </w:p>
        </w:tc>
      </w:tr>
      <w:tr w:rsidR="002102D2" w:rsidRPr="00B362BA" w14:paraId="1B5F9921" w14:textId="77777777" w:rsidTr="00F92BD9">
        <w:tc>
          <w:tcPr>
            <w:tcW w:w="4219" w:type="dxa"/>
            <w:gridSpan w:val="4"/>
            <w:tcBorders>
              <w:left w:val="single" w:sz="12" w:space="0" w:color="auto"/>
            </w:tcBorders>
          </w:tcPr>
          <w:p w14:paraId="6AAD6E97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I.1 Priezvisko, meno, tituly: </w:t>
            </w:r>
          </w:p>
        </w:tc>
        <w:tc>
          <w:tcPr>
            <w:tcW w:w="4996" w:type="dxa"/>
            <w:gridSpan w:val="5"/>
            <w:tcBorders>
              <w:right w:val="single" w:sz="12" w:space="0" w:color="auto"/>
            </w:tcBorders>
          </w:tcPr>
          <w:p w14:paraId="1A787CFC" w14:textId="77777777" w:rsidR="002102D2" w:rsidRPr="00B362BA" w:rsidRDefault="002102D2" w:rsidP="00F92BD9">
            <w:pPr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>Šramková Mária, MUDr., PhD.</w:t>
            </w:r>
          </w:p>
        </w:tc>
      </w:tr>
      <w:tr w:rsidR="002102D2" w:rsidRPr="00B362BA" w14:paraId="1049E689" w14:textId="77777777" w:rsidTr="00F92BD9">
        <w:tc>
          <w:tcPr>
            <w:tcW w:w="4219" w:type="dxa"/>
            <w:gridSpan w:val="4"/>
            <w:tcBorders>
              <w:left w:val="single" w:sz="12" w:space="0" w:color="auto"/>
            </w:tcBorders>
          </w:tcPr>
          <w:p w14:paraId="3D8248B3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I.2 Rok narodenia: </w:t>
            </w:r>
          </w:p>
        </w:tc>
        <w:tc>
          <w:tcPr>
            <w:tcW w:w="4996" w:type="dxa"/>
            <w:gridSpan w:val="5"/>
            <w:tcBorders>
              <w:right w:val="single" w:sz="12" w:space="0" w:color="auto"/>
            </w:tcBorders>
          </w:tcPr>
          <w:p w14:paraId="4A2BE055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  <w:r w:rsidRPr="00B362BA">
              <w:rPr>
                <w:i/>
                <w:sz w:val="16"/>
                <w:szCs w:val="16"/>
              </w:rPr>
              <w:t xml:space="preserve"> 1964</w:t>
            </w:r>
          </w:p>
        </w:tc>
      </w:tr>
      <w:tr w:rsidR="002102D2" w:rsidRPr="00B362BA" w14:paraId="088B227B" w14:textId="77777777" w:rsidTr="00F92BD9">
        <w:tc>
          <w:tcPr>
            <w:tcW w:w="4219" w:type="dxa"/>
            <w:gridSpan w:val="4"/>
            <w:tcBorders>
              <w:left w:val="single" w:sz="12" w:space="0" w:color="auto"/>
            </w:tcBorders>
          </w:tcPr>
          <w:p w14:paraId="7E1DDE72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I.3 Názov a adresa pracoviska</w:t>
            </w:r>
            <w:r w:rsidRPr="00B362BA">
              <w:rPr>
                <w:b/>
                <w:sz w:val="16"/>
                <w:szCs w:val="16"/>
              </w:rPr>
              <w:t xml:space="preserve">: </w:t>
            </w:r>
          </w:p>
          <w:p w14:paraId="5AEBC2F5" w14:textId="77777777" w:rsidR="002102D2" w:rsidRPr="00B362BA" w:rsidRDefault="002102D2" w:rsidP="00F92BD9">
            <w:pPr>
              <w:rPr>
                <w:b/>
                <w:sz w:val="16"/>
              </w:rPr>
            </w:pPr>
          </w:p>
        </w:tc>
        <w:tc>
          <w:tcPr>
            <w:tcW w:w="4996" w:type="dxa"/>
            <w:gridSpan w:val="5"/>
            <w:tcBorders>
              <w:right w:val="single" w:sz="12" w:space="0" w:color="auto"/>
            </w:tcBorders>
          </w:tcPr>
          <w:p w14:paraId="21A32179" w14:textId="77777777" w:rsidR="002102D2" w:rsidRPr="00B362BA" w:rsidRDefault="002102D2" w:rsidP="00F92BD9">
            <w:pPr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>Fakulta  zdravotníctva a sociálnej práce sv. Ladislava</w:t>
            </w:r>
          </w:p>
          <w:p w14:paraId="0A47EB16" w14:textId="77777777" w:rsidR="002102D2" w:rsidRPr="00B362BA" w:rsidRDefault="002102D2" w:rsidP="00F92BD9">
            <w:pPr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>Nové Zámky</w:t>
            </w:r>
          </w:p>
          <w:p w14:paraId="04127374" w14:textId="77777777" w:rsidR="002102D2" w:rsidRPr="00B362BA" w:rsidRDefault="002102D2" w:rsidP="00F92BD9">
            <w:pPr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>ul. Slovenská11</w:t>
            </w:r>
          </w:p>
          <w:p w14:paraId="52E3CF0E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>940 52 Nové Zámky</w:t>
            </w:r>
          </w:p>
        </w:tc>
      </w:tr>
      <w:tr w:rsidR="002102D2" w:rsidRPr="00B362BA" w14:paraId="7D26B7E6" w14:textId="77777777" w:rsidTr="00F92BD9">
        <w:tc>
          <w:tcPr>
            <w:tcW w:w="4219" w:type="dxa"/>
            <w:gridSpan w:val="4"/>
            <w:tcBorders>
              <w:left w:val="single" w:sz="12" w:space="0" w:color="auto"/>
            </w:tcBorders>
          </w:tcPr>
          <w:p w14:paraId="5CB68CB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I.4 E-mailová adresa: </w:t>
            </w:r>
          </w:p>
        </w:tc>
        <w:tc>
          <w:tcPr>
            <w:tcW w:w="4996" w:type="dxa"/>
            <w:gridSpan w:val="5"/>
            <w:tcBorders>
              <w:right w:val="single" w:sz="12" w:space="0" w:color="auto"/>
            </w:tcBorders>
          </w:tcPr>
          <w:p w14:paraId="624145FC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  <w:proofErr w:type="spellStart"/>
            <w:r w:rsidRPr="00B362BA">
              <w:rPr>
                <w:i/>
                <w:sz w:val="16"/>
                <w:szCs w:val="16"/>
              </w:rPr>
              <w:t>mariasramkova</w:t>
            </w:r>
            <w:proofErr w:type="spellEnd"/>
            <w:r w:rsidRPr="00B362BA">
              <w:rPr>
                <w:i/>
                <w:sz w:val="16"/>
                <w:szCs w:val="16"/>
              </w:rPr>
              <w:t xml:space="preserve"> zoznam.sk</w:t>
            </w:r>
          </w:p>
        </w:tc>
      </w:tr>
      <w:tr w:rsidR="002102D2" w:rsidRPr="00B362BA" w14:paraId="67BE17CB" w14:textId="77777777" w:rsidTr="00F92BD9"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169ED36" w14:textId="77777777" w:rsidR="002102D2" w:rsidRPr="00B362BA" w:rsidRDefault="002102D2" w:rsidP="00F92BD9">
            <w:pPr>
              <w:rPr>
                <w:b/>
              </w:rPr>
            </w:pPr>
            <w:r w:rsidRPr="00B362BA">
              <w:rPr>
                <w:b/>
              </w:rPr>
              <w:t>II. Informácie o vysokoškolskom vzdelaní a ďalšom kvalifikačnom raste</w:t>
            </w:r>
          </w:p>
        </w:tc>
      </w:tr>
      <w:tr w:rsidR="002102D2" w:rsidRPr="00B362BA" w14:paraId="230C8CF7" w14:textId="77777777" w:rsidTr="00F92BD9">
        <w:trPr>
          <w:trHeight w:val="50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02A3A529" w14:textId="77777777" w:rsidR="002102D2" w:rsidRPr="00B362BA" w:rsidRDefault="002102D2" w:rsidP="00F92BD9">
            <w:pPr>
              <w:rPr>
                <w:b/>
                <w:sz w:val="16"/>
              </w:rPr>
            </w:pPr>
          </w:p>
        </w:tc>
        <w:tc>
          <w:tcPr>
            <w:tcW w:w="3901" w:type="dxa"/>
            <w:gridSpan w:val="5"/>
          </w:tcPr>
          <w:p w14:paraId="5B03C446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rFonts w:cs="Calibri"/>
                <w:b/>
                <w:sz w:val="16"/>
              </w:rPr>
              <w:t>Názov vysokej školy alebo inštitúcie</w:t>
            </w:r>
          </w:p>
        </w:tc>
        <w:tc>
          <w:tcPr>
            <w:tcW w:w="708" w:type="dxa"/>
          </w:tcPr>
          <w:p w14:paraId="3A8D9BFB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rFonts w:cs="Calibri"/>
                <w:b/>
                <w:sz w:val="16"/>
              </w:rPr>
              <w:t xml:space="preserve">Rok 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65A5C1E6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rFonts w:cs="Calibri"/>
                <w:b/>
                <w:sz w:val="16"/>
              </w:rPr>
              <w:t>Odbor a program</w:t>
            </w:r>
          </w:p>
        </w:tc>
      </w:tr>
      <w:tr w:rsidR="002102D2" w:rsidRPr="00B362BA" w14:paraId="0190F657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3388B599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Vysokoškolské vzdelanie druhého stupňa</w:t>
            </w:r>
          </w:p>
        </w:tc>
        <w:tc>
          <w:tcPr>
            <w:tcW w:w="3901" w:type="dxa"/>
            <w:gridSpan w:val="5"/>
          </w:tcPr>
          <w:p w14:paraId="1EAB8E91" w14:textId="77777777" w:rsidR="002102D2" w:rsidRPr="00B362BA" w:rsidRDefault="002102D2" w:rsidP="00F92BD9">
            <w:pPr>
              <w:rPr>
                <w:i/>
                <w:sz w:val="20"/>
              </w:rPr>
            </w:pPr>
            <w:proofErr w:type="spellStart"/>
            <w:r w:rsidRPr="00B362BA">
              <w:rPr>
                <w:sz w:val="16"/>
                <w:szCs w:val="16"/>
              </w:rPr>
              <w:t>Jesseniova</w:t>
            </w:r>
            <w:proofErr w:type="spellEnd"/>
            <w:r w:rsidRPr="00B362BA">
              <w:rPr>
                <w:sz w:val="16"/>
                <w:szCs w:val="16"/>
              </w:rPr>
              <w:t xml:space="preserve"> Lekárska fakulta Univerzity Komenského Martin</w:t>
            </w:r>
          </w:p>
        </w:tc>
        <w:tc>
          <w:tcPr>
            <w:tcW w:w="708" w:type="dxa"/>
          </w:tcPr>
          <w:p w14:paraId="36891E4D" w14:textId="77777777" w:rsidR="002102D2" w:rsidRPr="00B362BA" w:rsidRDefault="002102D2" w:rsidP="00F92BD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362BA">
              <w:rPr>
                <w:rFonts w:asciiTheme="minorHAnsi" w:hAnsiTheme="minorHAnsi"/>
                <w:i/>
                <w:sz w:val="16"/>
                <w:szCs w:val="16"/>
              </w:rPr>
              <w:t>1991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55C50B5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 xml:space="preserve">Všeobecné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lrkárstvo</w:t>
            </w:r>
            <w:proofErr w:type="spellEnd"/>
          </w:p>
        </w:tc>
      </w:tr>
      <w:tr w:rsidR="002102D2" w:rsidRPr="00B362BA" w14:paraId="618CC9F2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31471F21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Vysokoškolské vzdelanie tretieho stupňa</w:t>
            </w:r>
          </w:p>
        </w:tc>
        <w:tc>
          <w:tcPr>
            <w:tcW w:w="3901" w:type="dxa"/>
            <w:gridSpan w:val="5"/>
          </w:tcPr>
          <w:p w14:paraId="1081FF52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  <w:r w:rsidRPr="00B362BA">
              <w:rPr>
                <w:i/>
                <w:sz w:val="16"/>
                <w:szCs w:val="16"/>
              </w:rPr>
              <w:t>Lekárska fakulta UK Bratislava, SZU</w:t>
            </w:r>
          </w:p>
        </w:tc>
        <w:tc>
          <w:tcPr>
            <w:tcW w:w="708" w:type="dxa"/>
          </w:tcPr>
          <w:p w14:paraId="662CB2F5" w14:textId="77777777" w:rsidR="002102D2" w:rsidRPr="00B362BA" w:rsidRDefault="002102D2" w:rsidP="00F92BD9">
            <w:pPr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 w:rsidRPr="00B362BA">
              <w:rPr>
                <w:rFonts w:asciiTheme="minorHAnsi" w:hAnsiTheme="minorHAnsi"/>
                <w:i/>
                <w:sz w:val="16"/>
                <w:szCs w:val="16"/>
              </w:rPr>
              <w:t>2002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5BDA521B" w14:textId="77777777" w:rsidR="002102D2" w:rsidRPr="00B362BA" w:rsidRDefault="002102D2" w:rsidP="00F92BD9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B362BA">
              <w:rPr>
                <w:rFonts w:asciiTheme="minorHAnsi" w:hAnsiTheme="minorHAnsi"/>
                <w:i/>
                <w:sz w:val="16"/>
                <w:szCs w:val="16"/>
              </w:rPr>
              <w:t>Chirurgia</w:t>
            </w:r>
          </w:p>
        </w:tc>
      </w:tr>
      <w:tr w:rsidR="002102D2" w:rsidRPr="00B362BA" w14:paraId="4AA235D8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712C3795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Titul docent</w:t>
            </w:r>
          </w:p>
        </w:tc>
        <w:tc>
          <w:tcPr>
            <w:tcW w:w="3901" w:type="dxa"/>
            <w:gridSpan w:val="5"/>
          </w:tcPr>
          <w:p w14:paraId="485D33D5" w14:textId="77777777" w:rsidR="002102D2" w:rsidRPr="00B362BA" w:rsidRDefault="002102D2" w:rsidP="00F92BD9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B362BA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VŠ  </w:t>
            </w:r>
            <w:proofErr w:type="spellStart"/>
            <w:r w:rsidRPr="00B362BA">
              <w:rPr>
                <w:rFonts w:asciiTheme="minorHAnsi" w:hAnsiTheme="minorHAnsi"/>
                <w:sz w:val="16"/>
                <w:szCs w:val="16"/>
                <w:lang w:eastAsia="en-US"/>
              </w:rPr>
              <w:t>ZaSP</w:t>
            </w:r>
            <w:proofErr w:type="spellEnd"/>
            <w:r w:rsidRPr="00B362BA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 sv. Alžbety Bratislava</w:t>
            </w:r>
          </w:p>
        </w:tc>
        <w:tc>
          <w:tcPr>
            <w:tcW w:w="708" w:type="dxa"/>
          </w:tcPr>
          <w:p w14:paraId="3A9A5104" w14:textId="77777777" w:rsidR="002102D2" w:rsidRPr="00B362BA" w:rsidRDefault="002102D2" w:rsidP="00F92B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362BA">
              <w:rPr>
                <w:rFonts w:asciiTheme="minorHAnsi" w:hAnsiTheme="minorHAnsi"/>
                <w:sz w:val="16"/>
                <w:szCs w:val="16"/>
              </w:rPr>
              <w:t>2018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D22C9BD" w14:textId="77777777" w:rsidR="002102D2" w:rsidRPr="00B362BA" w:rsidRDefault="002102D2" w:rsidP="00F92BD9">
            <w:pPr>
              <w:rPr>
                <w:rFonts w:asciiTheme="minorHAnsi" w:hAnsiTheme="minorHAnsi"/>
                <w:sz w:val="16"/>
                <w:szCs w:val="16"/>
              </w:rPr>
            </w:pPr>
            <w:r w:rsidRPr="00B362BA">
              <w:rPr>
                <w:rFonts w:asciiTheme="minorHAnsi" w:hAnsiTheme="minorHAnsi"/>
                <w:sz w:val="16"/>
                <w:szCs w:val="16"/>
              </w:rPr>
              <w:t>ošetrovateľstvo</w:t>
            </w:r>
          </w:p>
        </w:tc>
      </w:tr>
      <w:tr w:rsidR="002102D2" w:rsidRPr="00B362BA" w14:paraId="1E08F115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4BF885AC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Titul profesor</w:t>
            </w:r>
          </w:p>
        </w:tc>
        <w:tc>
          <w:tcPr>
            <w:tcW w:w="3901" w:type="dxa"/>
            <w:gridSpan w:val="5"/>
          </w:tcPr>
          <w:p w14:paraId="182CE809" w14:textId="77777777" w:rsidR="002102D2" w:rsidRPr="00B362BA" w:rsidRDefault="002102D2" w:rsidP="00F92BD9">
            <w:pPr>
              <w:rPr>
                <w:sz w:val="20"/>
              </w:rPr>
            </w:pPr>
            <w:r w:rsidRPr="00B362BA">
              <w:rPr>
                <w:sz w:val="20"/>
              </w:rPr>
              <w:t>-</w:t>
            </w:r>
          </w:p>
        </w:tc>
        <w:tc>
          <w:tcPr>
            <w:tcW w:w="708" w:type="dxa"/>
          </w:tcPr>
          <w:p w14:paraId="0DCE5EDD" w14:textId="77777777" w:rsidR="002102D2" w:rsidRPr="00B362BA" w:rsidRDefault="002102D2" w:rsidP="00F92BD9">
            <w:pPr>
              <w:jc w:val="center"/>
              <w:rPr>
                <w:sz w:val="20"/>
              </w:rPr>
            </w:pPr>
            <w:r w:rsidRPr="00B362BA">
              <w:rPr>
                <w:sz w:val="20"/>
              </w:rPr>
              <w:t>-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11A039A" w14:textId="77777777" w:rsidR="002102D2" w:rsidRPr="00B362BA" w:rsidRDefault="002102D2" w:rsidP="00F92BD9">
            <w:pPr>
              <w:rPr>
                <w:sz w:val="20"/>
              </w:rPr>
            </w:pPr>
            <w:r w:rsidRPr="00B362BA">
              <w:rPr>
                <w:sz w:val="20"/>
              </w:rPr>
              <w:t>-</w:t>
            </w:r>
          </w:p>
        </w:tc>
      </w:tr>
      <w:tr w:rsidR="002102D2" w:rsidRPr="00B362BA" w14:paraId="33C842B2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581566B4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Doktor vied</w:t>
            </w:r>
          </w:p>
        </w:tc>
        <w:tc>
          <w:tcPr>
            <w:tcW w:w="3901" w:type="dxa"/>
            <w:gridSpan w:val="5"/>
          </w:tcPr>
          <w:p w14:paraId="4811EA72" w14:textId="77777777" w:rsidR="002102D2" w:rsidRPr="00B362BA" w:rsidRDefault="002102D2" w:rsidP="00F92BD9">
            <w:pPr>
              <w:rPr>
                <w:sz w:val="20"/>
              </w:rPr>
            </w:pPr>
            <w:r w:rsidRPr="00B362BA">
              <w:rPr>
                <w:sz w:val="20"/>
              </w:rPr>
              <w:t>-</w:t>
            </w:r>
          </w:p>
        </w:tc>
        <w:tc>
          <w:tcPr>
            <w:tcW w:w="708" w:type="dxa"/>
          </w:tcPr>
          <w:p w14:paraId="725BF632" w14:textId="77777777" w:rsidR="002102D2" w:rsidRPr="00B362BA" w:rsidRDefault="002102D2" w:rsidP="00F92BD9">
            <w:pPr>
              <w:jc w:val="center"/>
              <w:rPr>
                <w:sz w:val="20"/>
              </w:rPr>
            </w:pPr>
            <w:r w:rsidRPr="00B362BA">
              <w:rPr>
                <w:sz w:val="20"/>
              </w:rPr>
              <w:t>-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D00D3C0" w14:textId="77777777" w:rsidR="002102D2" w:rsidRPr="00B362BA" w:rsidRDefault="002102D2" w:rsidP="00F92BD9">
            <w:pPr>
              <w:rPr>
                <w:sz w:val="20"/>
              </w:rPr>
            </w:pPr>
            <w:r w:rsidRPr="00B362BA">
              <w:rPr>
                <w:sz w:val="20"/>
              </w:rPr>
              <w:t>-</w:t>
            </w:r>
          </w:p>
        </w:tc>
      </w:tr>
      <w:tr w:rsidR="002102D2" w:rsidRPr="00B362BA" w14:paraId="268B5CFB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24B36741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Ďalšie vzdelávanie</w:t>
            </w:r>
          </w:p>
        </w:tc>
        <w:tc>
          <w:tcPr>
            <w:tcW w:w="3901" w:type="dxa"/>
            <w:gridSpan w:val="5"/>
          </w:tcPr>
          <w:p w14:paraId="118CF21F" w14:textId="77777777" w:rsidR="002102D2" w:rsidRDefault="002102D2" w:rsidP="00F92BD9">
            <w:pPr>
              <w:autoSpaceDE w:val="0"/>
              <w:autoSpaceDN w:val="0"/>
              <w:adjustRightInd w:val="0"/>
              <w:ind w:left="249" w:hanging="215"/>
              <w:jc w:val="both"/>
              <w:rPr>
                <w:sz w:val="22"/>
                <w:szCs w:val="22"/>
              </w:rPr>
            </w:pPr>
            <w:r w:rsidRPr="00117FAB">
              <w:rPr>
                <w:sz w:val="22"/>
                <w:szCs w:val="22"/>
              </w:rPr>
              <w:t xml:space="preserve">■   SZU Bratislava </w:t>
            </w:r>
          </w:p>
          <w:p w14:paraId="67314A01" w14:textId="77777777" w:rsidR="002102D2" w:rsidRDefault="002102D2" w:rsidP="00F92BD9">
            <w:pPr>
              <w:autoSpaceDE w:val="0"/>
              <w:autoSpaceDN w:val="0"/>
              <w:adjustRightInd w:val="0"/>
              <w:ind w:left="249" w:hanging="215"/>
              <w:jc w:val="both"/>
              <w:rPr>
                <w:sz w:val="22"/>
                <w:szCs w:val="22"/>
              </w:rPr>
            </w:pPr>
          </w:p>
          <w:p w14:paraId="68F0F1C9" w14:textId="77777777" w:rsidR="002102D2" w:rsidRDefault="002102D2" w:rsidP="00F92BD9">
            <w:pPr>
              <w:autoSpaceDE w:val="0"/>
              <w:autoSpaceDN w:val="0"/>
              <w:adjustRightInd w:val="0"/>
              <w:ind w:left="249" w:hanging="215"/>
              <w:jc w:val="both"/>
              <w:rPr>
                <w:sz w:val="22"/>
                <w:szCs w:val="22"/>
              </w:rPr>
            </w:pPr>
          </w:p>
          <w:p w14:paraId="7E789BA9" w14:textId="77777777" w:rsidR="002102D2" w:rsidRPr="00117FAB" w:rsidRDefault="002102D2" w:rsidP="00F92BD9">
            <w:pPr>
              <w:autoSpaceDE w:val="0"/>
              <w:autoSpaceDN w:val="0"/>
              <w:adjustRightInd w:val="0"/>
              <w:ind w:left="317" w:right="-392" w:hanging="283"/>
              <w:rPr>
                <w:sz w:val="22"/>
                <w:szCs w:val="22"/>
              </w:rPr>
            </w:pPr>
            <w:r w:rsidRPr="00117FAB">
              <w:rPr>
                <w:sz w:val="22"/>
                <w:szCs w:val="22"/>
              </w:rPr>
              <w:t xml:space="preserve">■   SZU Bratislava   </w:t>
            </w:r>
          </w:p>
          <w:p w14:paraId="73F894F5" w14:textId="77777777" w:rsidR="002102D2" w:rsidRDefault="002102D2" w:rsidP="00F92BD9">
            <w:pPr>
              <w:autoSpaceDE w:val="0"/>
              <w:autoSpaceDN w:val="0"/>
              <w:adjustRightInd w:val="0"/>
              <w:ind w:left="317" w:hanging="283"/>
              <w:rPr>
                <w:sz w:val="22"/>
                <w:szCs w:val="22"/>
              </w:rPr>
            </w:pPr>
            <w:r w:rsidRPr="00117FAB">
              <w:rPr>
                <w:sz w:val="22"/>
                <w:szCs w:val="22"/>
              </w:rPr>
              <w:t xml:space="preserve">    </w:t>
            </w:r>
          </w:p>
          <w:p w14:paraId="227770DE" w14:textId="77777777" w:rsidR="002102D2" w:rsidRPr="00117FAB" w:rsidRDefault="002102D2" w:rsidP="00F92BD9">
            <w:pPr>
              <w:autoSpaceDE w:val="0"/>
              <w:autoSpaceDN w:val="0"/>
              <w:adjustRightInd w:val="0"/>
              <w:ind w:left="317" w:hanging="283"/>
              <w:rPr>
                <w:sz w:val="22"/>
                <w:szCs w:val="22"/>
              </w:rPr>
            </w:pPr>
          </w:p>
          <w:p w14:paraId="5B31C3D9" w14:textId="77777777" w:rsidR="002102D2" w:rsidRPr="00B362BA" w:rsidRDefault="002102D2" w:rsidP="00F92BD9">
            <w:pPr>
              <w:rPr>
                <w:sz w:val="20"/>
              </w:rPr>
            </w:pPr>
            <w:r w:rsidRPr="00117FAB">
              <w:rPr>
                <w:sz w:val="22"/>
                <w:szCs w:val="22"/>
              </w:rPr>
              <w:t xml:space="preserve">■   SZU Bratislava   </w:t>
            </w:r>
          </w:p>
        </w:tc>
        <w:tc>
          <w:tcPr>
            <w:tcW w:w="708" w:type="dxa"/>
          </w:tcPr>
          <w:p w14:paraId="1F333573" w14:textId="77777777" w:rsidR="002102D2" w:rsidRDefault="002102D2" w:rsidP="00F92BD9">
            <w:pPr>
              <w:jc w:val="center"/>
              <w:rPr>
                <w:sz w:val="22"/>
                <w:szCs w:val="22"/>
              </w:rPr>
            </w:pPr>
            <w:r w:rsidRPr="00117FAB">
              <w:rPr>
                <w:sz w:val="22"/>
                <w:szCs w:val="22"/>
              </w:rPr>
              <w:t>2006</w:t>
            </w:r>
          </w:p>
          <w:p w14:paraId="0A96398C" w14:textId="77777777" w:rsidR="002102D2" w:rsidRDefault="002102D2" w:rsidP="00F92BD9">
            <w:pPr>
              <w:jc w:val="center"/>
              <w:rPr>
                <w:sz w:val="22"/>
                <w:szCs w:val="22"/>
              </w:rPr>
            </w:pPr>
          </w:p>
          <w:p w14:paraId="402A6F40" w14:textId="77777777" w:rsidR="002102D2" w:rsidRDefault="002102D2" w:rsidP="00F92BD9">
            <w:pPr>
              <w:jc w:val="center"/>
              <w:rPr>
                <w:sz w:val="22"/>
                <w:szCs w:val="22"/>
              </w:rPr>
            </w:pPr>
          </w:p>
          <w:p w14:paraId="36FAB75A" w14:textId="77777777" w:rsidR="002102D2" w:rsidRDefault="002102D2" w:rsidP="00F92BD9">
            <w:pPr>
              <w:jc w:val="center"/>
              <w:rPr>
                <w:sz w:val="22"/>
                <w:szCs w:val="22"/>
              </w:rPr>
            </w:pPr>
            <w:r w:rsidRPr="00117FAB">
              <w:rPr>
                <w:sz w:val="22"/>
                <w:szCs w:val="22"/>
              </w:rPr>
              <w:t>1999</w:t>
            </w:r>
          </w:p>
          <w:p w14:paraId="4B58CE03" w14:textId="77777777" w:rsidR="002102D2" w:rsidRDefault="002102D2" w:rsidP="00F92BD9">
            <w:pPr>
              <w:jc w:val="center"/>
              <w:rPr>
                <w:sz w:val="22"/>
                <w:szCs w:val="22"/>
              </w:rPr>
            </w:pPr>
          </w:p>
          <w:p w14:paraId="28E42C85" w14:textId="77777777" w:rsidR="002102D2" w:rsidRDefault="002102D2" w:rsidP="00F92BD9">
            <w:pPr>
              <w:jc w:val="center"/>
              <w:rPr>
                <w:sz w:val="22"/>
                <w:szCs w:val="22"/>
              </w:rPr>
            </w:pPr>
          </w:p>
          <w:p w14:paraId="548CC594" w14:textId="77777777" w:rsidR="002102D2" w:rsidRPr="00B362BA" w:rsidRDefault="002102D2" w:rsidP="00F92BD9">
            <w:pPr>
              <w:jc w:val="center"/>
              <w:rPr>
                <w:sz w:val="20"/>
              </w:rPr>
            </w:pPr>
            <w:r w:rsidRPr="00117FAB">
              <w:rPr>
                <w:sz w:val="22"/>
                <w:szCs w:val="22"/>
              </w:rPr>
              <w:t>1994</w:t>
            </w:r>
            <w:r w:rsidRPr="00B362BA">
              <w:rPr>
                <w:sz w:val="20"/>
              </w:rPr>
              <w:t>-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3784A1BF" w14:textId="77777777" w:rsidR="002102D2" w:rsidRDefault="002102D2" w:rsidP="00F92BD9">
            <w:pPr>
              <w:rPr>
                <w:sz w:val="22"/>
                <w:szCs w:val="22"/>
              </w:rPr>
            </w:pPr>
            <w:r w:rsidRPr="00117FAB">
              <w:rPr>
                <w:sz w:val="22"/>
                <w:szCs w:val="22"/>
              </w:rPr>
              <w:t xml:space="preserve"> atestácia zo všeobecného lekárstva </w:t>
            </w:r>
          </w:p>
          <w:p w14:paraId="763DF433" w14:textId="77777777" w:rsidR="002102D2" w:rsidRDefault="002102D2" w:rsidP="00F92BD9">
            <w:pPr>
              <w:rPr>
                <w:sz w:val="22"/>
                <w:szCs w:val="22"/>
              </w:rPr>
            </w:pPr>
          </w:p>
          <w:p w14:paraId="41CE443C" w14:textId="77777777" w:rsidR="002102D2" w:rsidRPr="00117FAB" w:rsidRDefault="002102D2" w:rsidP="00F92BD9">
            <w:pPr>
              <w:ind w:left="34"/>
              <w:rPr>
                <w:sz w:val="22"/>
                <w:szCs w:val="22"/>
              </w:rPr>
            </w:pPr>
            <w:r w:rsidRPr="00117FAB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117FAB">
              <w:rPr>
                <w:sz w:val="22"/>
                <w:szCs w:val="22"/>
              </w:rPr>
              <w:t>atestácia z </w:t>
            </w:r>
            <w:proofErr w:type="spellStart"/>
            <w:r w:rsidRPr="00117FAB">
              <w:rPr>
                <w:sz w:val="22"/>
                <w:szCs w:val="22"/>
              </w:rPr>
              <w:t>anest</w:t>
            </w:r>
            <w:proofErr w:type="spellEnd"/>
            <w:r w:rsidRPr="00117FAB">
              <w:rPr>
                <w:sz w:val="22"/>
                <w:szCs w:val="22"/>
              </w:rPr>
              <w:t>. a </w:t>
            </w:r>
            <w:proofErr w:type="spellStart"/>
            <w:r w:rsidRPr="00117FAB">
              <w:rPr>
                <w:sz w:val="22"/>
                <w:szCs w:val="22"/>
              </w:rPr>
              <w:t>intenzív.med</w:t>
            </w:r>
            <w:proofErr w:type="spellEnd"/>
            <w:r w:rsidRPr="00117FAB">
              <w:rPr>
                <w:sz w:val="22"/>
                <w:szCs w:val="22"/>
              </w:rPr>
              <w:t>.-</w:t>
            </w:r>
          </w:p>
          <w:p w14:paraId="211C8771" w14:textId="77777777" w:rsidR="002102D2" w:rsidRPr="00117FAB" w:rsidRDefault="002102D2" w:rsidP="00F92BD9">
            <w:pPr>
              <w:rPr>
                <w:sz w:val="22"/>
                <w:szCs w:val="22"/>
              </w:rPr>
            </w:pPr>
          </w:p>
          <w:p w14:paraId="5E84C521" w14:textId="77777777" w:rsidR="002102D2" w:rsidRPr="00B362BA" w:rsidRDefault="002102D2" w:rsidP="00F92BD9">
            <w:pPr>
              <w:rPr>
                <w:sz w:val="20"/>
              </w:rPr>
            </w:pPr>
            <w:r w:rsidRPr="00117FAB">
              <w:rPr>
                <w:sz w:val="22"/>
                <w:szCs w:val="22"/>
              </w:rPr>
              <w:t>1. Atestácia z </w:t>
            </w:r>
            <w:proofErr w:type="spellStart"/>
            <w:r w:rsidRPr="00117FAB">
              <w:rPr>
                <w:sz w:val="22"/>
                <w:szCs w:val="22"/>
              </w:rPr>
              <w:t>anest</w:t>
            </w:r>
            <w:proofErr w:type="spellEnd"/>
            <w:r w:rsidRPr="00117FAB">
              <w:rPr>
                <w:sz w:val="22"/>
                <w:szCs w:val="22"/>
              </w:rPr>
              <w:t>. a resuscitácie</w:t>
            </w:r>
          </w:p>
        </w:tc>
      </w:tr>
      <w:tr w:rsidR="002102D2" w:rsidRPr="00B362BA" w14:paraId="3F81C71C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4B7AC26E" w14:textId="77777777" w:rsidR="002102D2" w:rsidRPr="00B362BA" w:rsidRDefault="002102D2" w:rsidP="00F92BD9">
            <w:pPr>
              <w:rPr>
                <w:b/>
              </w:rPr>
            </w:pPr>
            <w:r w:rsidRPr="00B362BA">
              <w:rPr>
                <w:b/>
              </w:rPr>
              <w:t>III. Zabezpečované činnosti</w:t>
            </w:r>
          </w:p>
        </w:tc>
      </w:tr>
      <w:tr w:rsidR="002102D2" w:rsidRPr="00B362BA" w14:paraId="1C361284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0C04C25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III.1 Prehľad o vedených záverečných prácach, ktoré boli obhájené</w:t>
            </w:r>
          </w:p>
        </w:tc>
      </w:tr>
      <w:tr w:rsidR="002102D2" w:rsidRPr="00B362BA" w14:paraId="5DBCF882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61711B28" w14:textId="77777777" w:rsidR="002102D2" w:rsidRPr="00B362BA" w:rsidRDefault="002102D2" w:rsidP="00F92BD9">
            <w:pPr>
              <w:rPr>
                <w:b/>
                <w:sz w:val="16"/>
              </w:rPr>
            </w:pPr>
          </w:p>
        </w:tc>
        <w:tc>
          <w:tcPr>
            <w:tcW w:w="2303" w:type="dxa"/>
            <w:gridSpan w:val="3"/>
          </w:tcPr>
          <w:p w14:paraId="4B2BB921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Bakalárske</w:t>
            </w:r>
          </w:p>
        </w:tc>
        <w:tc>
          <w:tcPr>
            <w:tcW w:w="2306" w:type="dxa"/>
            <w:gridSpan w:val="3"/>
          </w:tcPr>
          <w:p w14:paraId="6769FA8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Diplomové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67BD218C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Dizertačné</w:t>
            </w:r>
          </w:p>
        </w:tc>
      </w:tr>
      <w:tr w:rsidR="002102D2" w:rsidRPr="00B362BA" w14:paraId="3C2D9684" w14:textId="77777777" w:rsidTr="00F92BD9">
        <w:trPr>
          <w:trHeight w:val="48"/>
        </w:trPr>
        <w:tc>
          <w:tcPr>
            <w:tcW w:w="2303" w:type="dxa"/>
            <w:gridSpan w:val="2"/>
            <w:tcBorders>
              <w:left w:val="single" w:sz="12" w:space="0" w:color="auto"/>
            </w:tcBorders>
          </w:tcPr>
          <w:p w14:paraId="35968EB6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Počet </w:t>
            </w:r>
          </w:p>
        </w:tc>
        <w:tc>
          <w:tcPr>
            <w:tcW w:w="2303" w:type="dxa"/>
            <w:gridSpan w:val="3"/>
          </w:tcPr>
          <w:p w14:paraId="6BED9CC7" w14:textId="77777777" w:rsidR="002102D2" w:rsidRPr="00B362BA" w:rsidRDefault="002102D2" w:rsidP="00F92BD9">
            <w:pPr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t>28</w:t>
            </w:r>
          </w:p>
          <w:p w14:paraId="15A47522" w14:textId="77777777" w:rsidR="002102D2" w:rsidRPr="00B362BA" w:rsidRDefault="002102D2" w:rsidP="00F92BD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306" w:type="dxa"/>
            <w:gridSpan w:val="3"/>
          </w:tcPr>
          <w:p w14:paraId="612E501F" w14:textId="77777777" w:rsidR="002102D2" w:rsidRPr="00B362BA" w:rsidRDefault="002102D2" w:rsidP="00F92BD9">
            <w:pPr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2303" w:type="dxa"/>
            <w:tcBorders>
              <w:right w:val="single" w:sz="12" w:space="0" w:color="auto"/>
            </w:tcBorders>
          </w:tcPr>
          <w:p w14:paraId="48C4ACFF" w14:textId="77777777" w:rsidR="002102D2" w:rsidRPr="00B362BA" w:rsidRDefault="002102D2" w:rsidP="00F92BD9">
            <w:pPr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t>2</w:t>
            </w:r>
          </w:p>
        </w:tc>
      </w:tr>
      <w:tr w:rsidR="002102D2" w:rsidRPr="00B362BA" w14:paraId="202F5804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BF424AA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III.2 Aktuálna pedagogická činnosť: </w:t>
            </w:r>
            <w:r w:rsidRPr="00B362BA">
              <w:rPr>
                <w:rFonts w:asciiTheme="minorHAnsi" w:hAnsiTheme="minorHAnsi"/>
                <w:b/>
                <w:sz w:val="16"/>
                <w:szCs w:val="16"/>
              </w:rPr>
              <w:t>Vyučovanie a skúšanie predmetu  Ošetrovateľstvo, Bc stupeň, Mgr. st., Urgentná medicína</w:t>
            </w:r>
          </w:p>
        </w:tc>
      </w:tr>
      <w:tr w:rsidR="002102D2" w:rsidRPr="00B362BA" w14:paraId="6AFA4DB2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53504527" w14:textId="77777777" w:rsidR="002102D2" w:rsidRDefault="002102D2" w:rsidP="00F92BD9">
            <w:pPr>
              <w:rPr>
                <w:rFonts w:cs="Calibri"/>
                <w:i/>
                <w:sz w:val="20"/>
                <w:szCs w:val="20"/>
              </w:rPr>
            </w:pPr>
            <w:proofErr w:type="spellStart"/>
            <w:r>
              <w:rPr>
                <w:rFonts w:cs="Calibri"/>
                <w:i/>
                <w:sz w:val="20"/>
                <w:szCs w:val="20"/>
              </w:rPr>
              <w:t>Anesteziológia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algeziológia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a 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intenzína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starostlivosť – 1. stupeň P/C</w:t>
            </w:r>
          </w:p>
          <w:p w14:paraId="4979CFBF" w14:textId="77777777" w:rsidR="002102D2" w:rsidRDefault="002102D2" w:rsidP="00F92BD9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Zdravotnícky a krízový manažment a integrovaný záchranný systém – 1. stupeň P/C</w:t>
            </w:r>
          </w:p>
          <w:p w14:paraId="61239F69" w14:textId="77777777" w:rsidR="002102D2" w:rsidRDefault="002102D2" w:rsidP="00F92BD9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Odborná prax</w:t>
            </w:r>
          </w:p>
          <w:p w14:paraId="2EA774DC" w14:textId="77777777" w:rsidR="002102D2" w:rsidRDefault="002102D2" w:rsidP="00F92BD9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Prvá pomoc – 1. stupeň P/C</w:t>
            </w:r>
          </w:p>
          <w:p w14:paraId="693ADD1B" w14:textId="77777777" w:rsidR="002102D2" w:rsidRDefault="002102D2" w:rsidP="00F92BD9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Technika v urgentnej medicíne 1. stupeň P/C</w:t>
            </w:r>
          </w:p>
          <w:p w14:paraId="12415610" w14:textId="77777777" w:rsidR="002102D2" w:rsidRDefault="002102D2" w:rsidP="00F92BD9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Urgentná medicína a medicína katastrof – 1. stupeň P/C</w:t>
            </w:r>
          </w:p>
          <w:p w14:paraId="6F8F63F3" w14:textId="77777777" w:rsidR="002102D2" w:rsidRPr="00B362BA" w:rsidRDefault="002102D2" w:rsidP="00F92BD9">
            <w:pPr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 xml:space="preserve">Urgentná zdravotná starostlivosť </w:t>
            </w:r>
            <w:r w:rsidRPr="00C15FD9">
              <w:rPr>
                <w:rFonts w:cs="Calibri"/>
                <w:i/>
                <w:sz w:val="20"/>
                <w:szCs w:val="20"/>
              </w:rPr>
              <w:t>– 1. stupeň P/C</w:t>
            </w:r>
          </w:p>
        </w:tc>
      </w:tr>
      <w:tr w:rsidR="002102D2" w:rsidRPr="00B362BA" w14:paraId="178D9243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1F839F93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III.3 Predchádzajúca pedagogická činnosť</w:t>
            </w:r>
          </w:p>
        </w:tc>
      </w:tr>
      <w:tr w:rsidR="002102D2" w:rsidRPr="00B362BA" w14:paraId="305FD0DC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2D30CF3C" w14:textId="77777777" w:rsidR="002102D2" w:rsidRPr="00B362BA" w:rsidRDefault="002102D2" w:rsidP="00F92BD9">
            <w:pPr>
              <w:jc w:val="both"/>
              <w:rPr>
                <w:color w:val="000000"/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 SZU – Katedra Všeobecného lekárstva, Limbová ul., Bratislava, Pravidelné prednášky z </w:t>
            </w:r>
            <w:proofErr w:type="spellStart"/>
            <w:r w:rsidRPr="00B362BA">
              <w:rPr>
                <w:sz w:val="16"/>
                <w:szCs w:val="16"/>
              </w:rPr>
              <w:t>intenzínej</w:t>
            </w:r>
            <w:proofErr w:type="spellEnd"/>
            <w:r w:rsidRPr="00B362BA">
              <w:rPr>
                <w:sz w:val="16"/>
                <w:szCs w:val="16"/>
              </w:rPr>
              <w:t xml:space="preserve"> medicíny </w:t>
            </w:r>
            <w:proofErr w:type="spellStart"/>
            <w:r w:rsidRPr="00B362BA">
              <w:rPr>
                <w:sz w:val="16"/>
                <w:szCs w:val="16"/>
              </w:rPr>
              <w:t>atestantom</w:t>
            </w:r>
            <w:proofErr w:type="spellEnd"/>
            <w:r w:rsidRPr="00B362BA">
              <w:rPr>
                <w:sz w:val="16"/>
                <w:szCs w:val="16"/>
              </w:rPr>
              <w:t xml:space="preserve">, </w:t>
            </w:r>
            <w:r w:rsidRPr="00B362BA">
              <w:rPr>
                <w:color w:val="000000"/>
                <w:sz w:val="16"/>
                <w:szCs w:val="16"/>
              </w:rPr>
              <w:t xml:space="preserve">Pôsobenie: od roku 2006 – 2013 interne, </w:t>
            </w:r>
            <w:proofErr w:type="spellStart"/>
            <w:r w:rsidRPr="00B362BA">
              <w:rPr>
                <w:color w:val="000000"/>
                <w:sz w:val="16"/>
                <w:szCs w:val="16"/>
              </w:rPr>
              <w:t>t.č</w:t>
            </w:r>
            <w:proofErr w:type="spellEnd"/>
            <w:r w:rsidRPr="00B362BA">
              <w:rPr>
                <w:color w:val="000000"/>
                <w:sz w:val="16"/>
                <w:szCs w:val="16"/>
              </w:rPr>
              <w:t xml:space="preserve">. externe </w:t>
            </w:r>
          </w:p>
          <w:p w14:paraId="448B01CB" w14:textId="77777777" w:rsidR="002102D2" w:rsidRPr="00B362BA" w:rsidRDefault="002102D2" w:rsidP="00F92BD9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B362BA">
              <w:rPr>
                <w:sz w:val="16"/>
                <w:szCs w:val="16"/>
              </w:rPr>
              <w:t>Jesseniova</w:t>
            </w:r>
            <w:proofErr w:type="spellEnd"/>
            <w:r w:rsidRPr="00B362BA">
              <w:rPr>
                <w:sz w:val="16"/>
                <w:szCs w:val="16"/>
              </w:rPr>
              <w:t xml:space="preserve"> Lekárska fakulta UK v Martine – pravidelné cvičenia a prednášky študentom 5., 6. ročníka LF, školiteľ dizertačných prác,</w:t>
            </w:r>
            <w:r w:rsidRPr="00B362BA">
              <w:rPr>
                <w:color w:val="000000"/>
                <w:sz w:val="16"/>
                <w:szCs w:val="16"/>
              </w:rPr>
              <w:t xml:space="preserve"> člen v skúšobných komisiách pri rigoróznych skúškach a obhajobe dizertačnej práce  </w:t>
            </w:r>
            <w:r w:rsidRPr="00B362BA">
              <w:rPr>
                <w:sz w:val="16"/>
                <w:szCs w:val="16"/>
              </w:rPr>
              <w:t>od roku 2003 do roku 2011</w:t>
            </w:r>
          </w:p>
          <w:p w14:paraId="23D0B026" w14:textId="77777777" w:rsidR="002102D2" w:rsidRPr="00B362BA" w:rsidRDefault="002102D2" w:rsidP="00F92BD9">
            <w:pPr>
              <w:jc w:val="both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Vysoká škola zdravotníctva a sociálnej práce sv. Alžbety </w:t>
            </w:r>
            <w:proofErr w:type="spellStart"/>
            <w:r w:rsidRPr="00B362BA">
              <w:rPr>
                <w:sz w:val="16"/>
                <w:szCs w:val="16"/>
              </w:rPr>
              <w:t>n.o</w:t>
            </w:r>
            <w:proofErr w:type="spellEnd"/>
            <w:r w:rsidRPr="00B362BA">
              <w:rPr>
                <w:sz w:val="16"/>
                <w:szCs w:val="16"/>
              </w:rPr>
              <w:t>., Bratislava, Detašované pracovisko Partizánske: 2010 – 2018 -  vysokoškolský pedagóg</w:t>
            </w:r>
          </w:p>
          <w:p w14:paraId="18026EC2" w14:textId="77777777" w:rsidR="002102D2" w:rsidRPr="00B362BA" w:rsidRDefault="002102D2" w:rsidP="00F92BD9">
            <w:pPr>
              <w:rPr>
                <w:rFonts w:cs="Calibri"/>
                <w:sz w:val="16"/>
                <w:szCs w:val="16"/>
              </w:rPr>
            </w:pPr>
            <w:r w:rsidRPr="00B362BA">
              <w:rPr>
                <w:rFonts w:cs="Calibri"/>
                <w:sz w:val="16"/>
                <w:szCs w:val="16"/>
              </w:rPr>
              <w:t xml:space="preserve">VŠ </w:t>
            </w:r>
            <w:proofErr w:type="spellStart"/>
            <w:r w:rsidRPr="00B362BA">
              <w:rPr>
                <w:rFonts w:cs="Calibri"/>
                <w:sz w:val="16"/>
                <w:szCs w:val="16"/>
              </w:rPr>
              <w:t>ZaSP</w:t>
            </w:r>
            <w:proofErr w:type="spellEnd"/>
            <w:r w:rsidRPr="00B362BA">
              <w:rPr>
                <w:rFonts w:cs="Calibri"/>
                <w:sz w:val="16"/>
                <w:szCs w:val="16"/>
              </w:rPr>
              <w:t xml:space="preserve"> sv. Alžbety – ošetrovateľstvo a sociálna práca: Paliatívna starostlivosť, Intenzívna starostlivosť a anestéziológia, Pediatria v ošetrovateľstve, , Urgentná starostlivosť</w:t>
            </w:r>
          </w:p>
        </w:tc>
      </w:tr>
      <w:tr w:rsidR="002102D2" w:rsidRPr="00B362BA" w14:paraId="2C8BAAF3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6DC4D3A" w14:textId="77777777" w:rsidR="002102D2" w:rsidRPr="00B362BA" w:rsidRDefault="002102D2" w:rsidP="00F92BD9">
            <w:pPr>
              <w:rPr>
                <w:b/>
                <w:sz w:val="16"/>
              </w:rPr>
            </w:pPr>
          </w:p>
        </w:tc>
      </w:tr>
      <w:tr w:rsidR="002102D2" w:rsidRPr="00B362BA" w14:paraId="34E6A4DA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529EFF1" w14:textId="77777777" w:rsidR="002102D2" w:rsidRPr="00B362BA" w:rsidRDefault="002102D2" w:rsidP="00F92BD9">
            <w:pPr>
              <w:rPr>
                <w:i/>
                <w:sz w:val="20"/>
              </w:rPr>
            </w:pPr>
          </w:p>
        </w:tc>
      </w:tr>
      <w:tr w:rsidR="002102D2" w:rsidRPr="00B362BA" w14:paraId="67440E2A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F4F10CC" w14:textId="77777777" w:rsidR="002102D2" w:rsidRPr="00B362BA" w:rsidRDefault="002102D2" w:rsidP="00F92BD9">
            <w:pPr>
              <w:rPr>
                <w:b/>
              </w:rPr>
            </w:pPr>
            <w:r w:rsidRPr="00B362BA">
              <w:rPr>
                <w:b/>
              </w:rPr>
              <w:t>IV. Profil kvality tvorivej činnosti</w:t>
            </w:r>
          </w:p>
        </w:tc>
      </w:tr>
      <w:tr w:rsidR="002102D2" w:rsidRPr="00B362BA" w14:paraId="11E84A7A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38E059F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IV.1 Prehľad výstupov</w:t>
            </w:r>
          </w:p>
        </w:tc>
      </w:tr>
      <w:tr w:rsidR="002102D2" w:rsidRPr="00B362BA" w14:paraId="38EAB49A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</w:tcPr>
          <w:p w14:paraId="177DD375" w14:textId="77777777" w:rsidR="002102D2" w:rsidRPr="00B362BA" w:rsidRDefault="002102D2" w:rsidP="00F92BD9">
            <w:pPr>
              <w:rPr>
                <w:b/>
                <w:sz w:val="16"/>
              </w:rPr>
            </w:pPr>
          </w:p>
        </w:tc>
        <w:tc>
          <w:tcPr>
            <w:tcW w:w="3071" w:type="dxa"/>
            <w:gridSpan w:val="3"/>
          </w:tcPr>
          <w:p w14:paraId="5125FEA1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Celkovo</w:t>
            </w:r>
          </w:p>
        </w:tc>
        <w:tc>
          <w:tcPr>
            <w:tcW w:w="3074" w:type="dxa"/>
            <w:gridSpan w:val="3"/>
            <w:tcBorders>
              <w:right w:val="single" w:sz="12" w:space="0" w:color="auto"/>
            </w:tcBorders>
          </w:tcPr>
          <w:p w14:paraId="39A63923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Za posledných šesť rokov</w:t>
            </w:r>
          </w:p>
        </w:tc>
      </w:tr>
      <w:tr w:rsidR="002102D2" w:rsidRPr="00B362BA" w14:paraId="3A421BC1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1F1F5D53" w14:textId="77777777" w:rsidR="002102D2" w:rsidRPr="00B362BA" w:rsidRDefault="002102D2" w:rsidP="00F92BD9">
            <w:pPr>
              <w:rPr>
                <w:rFonts w:cs="Calibri"/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Počet výstupov evidovaných vo Web of </w:t>
            </w:r>
            <w:proofErr w:type="spellStart"/>
            <w:r w:rsidRPr="00B362BA">
              <w:rPr>
                <w:b/>
                <w:sz w:val="16"/>
              </w:rPr>
              <w:t>Science</w:t>
            </w:r>
            <w:proofErr w:type="spellEnd"/>
            <w:r w:rsidRPr="00B362BA">
              <w:rPr>
                <w:b/>
                <w:sz w:val="16"/>
              </w:rPr>
              <w:t xml:space="preserve"> alebo </w:t>
            </w:r>
            <w:proofErr w:type="spellStart"/>
            <w:r w:rsidRPr="00B362BA">
              <w:rPr>
                <w:b/>
                <w:sz w:val="16"/>
              </w:rPr>
              <w:t>Scopus</w:t>
            </w:r>
            <w:proofErr w:type="spellEnd"/>
          </w:p>
        </w:tc>
        <w:tc>
          <w:tcPr>
            <w:tcW w:w="3071" w:type="dxa"/>
            <w:gridSpan w:val="3"/>
            <w:vAlign w:val="center"/>
          </w:tcPr>
          <w:p w14:paraId="114C09C7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74" w:type="dxa"/>
            <w:gridSpan w:val="3"/>
            <w:tcBorders>
              <w:right w:val="single" w:sz="12" w:space="0" w:color="auto"/>
            </w:tcBorders>
            <w:vAlign w:val="center"/>
          </w:tcPr>
          <w:p w14:paraId="2D1FDBDB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3</w:t>
            </w:r>
          </w:p>
        </w:tc>
      </w:tr>
      <w:tr w:rsidR="002102D2" w:rsidRPr="00B362BA" w14:paraId="4EACF00D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152F81A0" w14:textId="77777777" w:rsidR="002102D2" w:rsidRPr="00B362BA" w:rsidRDefault="002102D2" w:rsidP="00F92BD9">
            <w:pPr>
              <w:rPr>
                <w:rFonts w:cs="Calibri"/>
                <w:b/>
                <w:sz w:val="16"/>
              </w:rPr>
            </w:pPr>
            <w:r w:rsidRPr="00B362BA">
              <w:rPr>
                <w:b/>
                <w:sz w:val="16"/>
              </w:rPr>
              <w:t>Počet výstupov kategórie A</w:t>
            </w:r>
          </w:p>
        </w:tc>
        <w:tc>
          <w:tcPr>
            <w:tcW w:w="3071" w:type="dxa"/>
            <w:gridSpan w:val="3"/>
            <w:vAlign w:val="center"/>
          </w:tcPr>
          <w:p w14:paraId="5A8C87AD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74" w:type="dxa"/>
            <w:gridSpan w:val="3"/>
            <w:tcBorders>
              <w:right w:val="single" w:sz="12" w:space="0" w:color="auto"/>
            </w:tcBorders>
            <w:vAlign w:val="center"/>
          </w:tcPr>
          <w:p w14:paraId="5C3DECA9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4</w:t>
            </w:r>
          </w:p>
        </w:tc>
      </w:tr>
      <w:tr w:rsidR="002102D2" w:rsidRPr="00B362BA" w14:paraId="2E026B43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5B8208B3" w14:textId="77777777" w:rsidR="002102D2" w:rsidRPr="00B362BA" w:rsidRDefault="002102D2" w:rsidP="00F92BD9">
            <w:pPr>
              <w:rPr>
                <w:rFonts w:cs="Calibri"/>
                <w:b/>
                <w:sz w:val="16"/>
              </w:rPr>
            </w:pPr>
            <w:r w:rsidRPr="00B362BA">
              <w:rPr>
                <w:b/>
                <w:sz w:val="16"/>
              </w:rPr>
              <w:t>Počet výstupov kategórie B</w:t>
            </w:r>
          </w:p>
        </w:tc>
        <w:tc>
          <w:tcPr>
            <w:tcW w:w="3071" w:type="dxa"/>
            <w:gridSpan w:val="3"/>
            <w:vAlign w:val="center"/>
          </w:tcPr>
          <w:p w14:paraId="26949D09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74" w:type="dxa"/>
            <w:gridSpan w:val="3"/>
            <w:tcBorders>
              <w:right w:val="single" w:sz="12" w:space="0" w:color="auto"/>
            </w:tcBorders>
            <w:vAlign w:val="center"/>
          </w:tcPr>
          <w:p w14:paraId="2E592C3A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3</w:t>
            </w:r>
          </w:p>
        </w:tc>
      </w:tr>
      <w:tr w:rsidR="002102D2" w:rsidRPr="00B362BA" w14:paraId="5075C2C3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2DD9BA0A" w14:textId="77777777" w:rsidR="002102D2" w:rsidRPr="00B362BA" w:rsidRDefault="002102D2" w:rsidP="00F92BD9">
            <w:pPr>
              <w:rPr>
                <w:rFonts w:cs="Calibri"/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Počet citácií Web of </w:t>
            </w:r>
            <w:proofErr w:type="spellStart"/>
            <w:r w:rsidRPr="00B362BA">
              <w:rPr>
                <w:b/>
                <w:sz w:val="16"/>
              </w:rPr>
              <w:t>Science</w:t>
            </w:r>
            <w:proofErr w:type="spellEnd"/>
            <w:r w:rsidRPr="00B362BA">
              <w:rPr>
                <w:b/>
                <w:sz w:val="16"/>
              </w:rPr>
              <w:t xml:space="preserve"> alebo </w:t>
            </w:r>
            <w:proofErr w:type="spellStart"/>
            <w:r w:rsidRPr="00B362BA">
              <w:rPr>
                <w:b/>
                <w:sz w:val="16"/>
              </w:rPr>
              <w:t>Scopus</w:t>
            </w:r>
            <w:proofErr w:type="spellEnd"/>
            <w:r w:rsidRPr="00B362BA">
              <w:rPr>
                <w:b/>
                <w:sz w:val="16"/>
              </w:rPr>
              <w:t>, v umeleckých študijných odboroch počet ohlasov v kategórii A</w:t>
            </w:r>
          </w:p>
        </w:tc>
        <w:tc>
          <w:tcPr>
            <w:tcW w:w="3071" w:type="dxa"/>
            <w:gridSpan w:val="3"/>
            <w:vAlign w:val="center"/>
          </w:tcPr>
          <w:p w14:paraId="14C2DD2A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 xml:space="preserve">53 </w:t>
            </w:r>
          </w:p>
        </w:tc>
        <w:tc>
          <w:tcPr>
            <w:tcW w:w="3074" w:type="dxa"/>
            <w:gridSpan w:val="3"/>
            <w:tcBorders>
              <w:right w:val="single" w:sz="12" w:space="0" w:color="auto"/>
            </w:tcBorders>
            <w:vAlign w:val="center"/>
          </w:tcPr>
          <w:p w14:paraId="12AB4B55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53</w:t>
            </w:r>
          </w:p>
        </w:tc>
      </w:tr>
      <w:tr w:rsidR="002102D2" w:rsidRPr="00B362BA" w14:paraId="7F8FF98F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50BD863C" w14:textId="77777777" w:rsidR="002102D2" w:rsidRPr="00B362BA" w:rsidRDefault="002102D2" w:rsidP="00F92BD9">
            <w:pPr>
              <w:rPr>
                <w:rFonts w:cs="Calibri"/>
                <w:b/>
                <w:sz w:val="16"/>
              </w:rPr>
            </w:pPr>
            <w:r w:rsidRPr="00B362BA">
              <w:rPr>
                <w:b/>
                <w:sz w:val="16"/>
              </w:rPr>
              <w:t>Počet projektov získaných na financovanie výskumu, tvorby</w:t>
            </w:r>
          </w:p>
        </w:tc>
        <w:tc>
          <w:tcPr>
            <w:tcW w:w="3071" w:type="dxa"/>
            <w:gridSpan w:val="3"/>
            <w:vAlign w:val="center"/>
          </w:tcPr>
          <w:p w14:paraId="11D38C02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074" w:type="dxa"/>
            <w:gridSpan w:val="3"/>
            <w:tcBorders>
              <w:right w:val="single" w:sz="12" w:space="0" w:color="auto"/>
            </w:tcBorders>
            <w:vAlign w:val="center"/>
          </w:tcPr>
          <w:p w14:paraId="7BAEE4E4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2</w:t>
            </w:r>
          </w:p>
        </w:tc>
      </w:tr>
      <w:tr w:rsidR="002102D2" w:rsidRPr="00B362BA" w14:paraId="6A815C96" w14:textId="77777777" w:rsidTr="00F92BD9">
        <w:trPr>
          <w:trHeight w:val="48"/>
        </w:trPr>
        <w:tc>
          <w:tcPr>
            <w:tcW w:w="3070" w:type="dxa"/>
            <w:gridSpan w:val="3"/>
            <w:tcBorders>
              <w:left w:val="single" w:sz="12" w:space="0" w:color="auto"/>
            </w:tcBorders>
            <w:vAlign w:val="center"/>
          </w:tcPr>
          <w:p w14:paraId="5165D12B" w14:textId="77777777" w:rsidR="002102D2" w:rsidRPr="00B362BA" w:rsidRDefault="002102D2" w:rsidP="00F92BD9">
            <w:pPr>
              <w:rPr>
                <w:rFonts w:cs="Calibri"/>
                <w:b/>
                <w:sz w:val="16"/>
              </w:rPr>
            </w:pPr>
            <w:r w:rsidRPr="00B362BA">
              <w:rPr>
                <w:b/>
                <w:sz w:val="16"/>
              </w:rPr>
              <w:t>Počet pozvaných prednášok na medzinárodnej/národnej úrovni</w:t>
            </w:r>
          </w:p>
        </w:tc>
        <w:tc>
          <w:tcPr>
            <w:tcW w:w="3071" w:type="dxa"/>
            <w:gridSpan w:val="3"/>
            <w:vAlign w:val="center"/>
          </w:tcPr>
          <w:p w14:paraId="4A163FF4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32  z toho 10 zahraničných.</w:t>
            </w:r>
          </w:p>
        </w:tc>
        <w:tc>
          <w:tcPr>
            <w:tcW w:w="3074" w:type="dxa"/>
            <w:gridSpan w:val="3"/>
            <w:vAlign w:val="center"/>
          </w:tcPr>
          <w:p w14:paraId="52A04B9B" w14:textId="77777777" w:rsidR="002102D2" w:rsidRPr="00B362BA" w:rsidRDefault="002102D2" w:rsidP="00F92BD9">
            <w:pPr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32  z toho 10 zahraničných.</w:t>
            </w:r>
          </w:p>
        </w:tc>
      </w:tr>
      <w:tr w:rsidR="002102D2" w:rsidRPr="00B362BA" w14:paraId="7DC401EE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C9DA2E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IV.2 Najvýznamnejšie publikované vedecké práce, verejne realizované alebo prezentované umelecké diela a výkony. Maximálne  päť.</w:t>
            </w:r>
          </w:p>
        </w:tc>
      </w:tr>
      <w:tr w:rsidR="002102D2" w:rsidRPr="00B362BA" w14:paraId="268A5483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638B04F7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1.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674A5B29" w14:textId="77777777" w:rsidR="002102D2" w:rsidRPr="00B362BA" w:rsidRDefault="002102D2" w:rsidP="00F92BD9">
            <w:pPr>
              <w:spacing w:line="276" w:lineRule="auto"/>
              <w:ind w:left="746" w:hanging="709"/>
              <w:jc w:val="both"/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t xml:space="preserve">  FRITZMANN,M.,PAĽUN, M.,ŠRAMKOVÁ, M., VALACH, M. 2018. Bratislava,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vs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sv.Alzbety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>. THE</w:t>
            </w:r>
          </w:p>
          <w:p w14:paraId="2A980F29" w14:textId="77777777" w:rsidR="002102D2" w:rsidRPr="00B362BA" w:rsidRDefault="002102D2" w:rsidP="00F92BD9">
            <w:pPr>
              <w:spacing w:line="276" w:lineRule="auto"/>
              <w:ind w:left="746" w:hanging="709"/>
              <w:jc w:val="both"/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lastRenderedPageBreak/>
              <w:t xml:space="preserve">  INCIDENCE OF COLORECTAL CANCER IN THE REGION PARTIZÁNSKE</w:t>
            </w:r>
            <w:r w:rsidRPr="00B362BA">
              <w:rPr>
                <w:b/>
                <w:sz w:val="16"/>
                <w:szCs w:val="16"/>
                <w:lang w:eastAsia="cs-CZ"/>
              </w:rPr>
              <w:t xml:space="preserve"> AAA </w:t>
            </w:r>
          </w:p>
        </w:tc>
      </w:tr>
      <w:tr w:rsidR="002102D2" w:rsidRPr="00B362BA" w14:paraId="6795B346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3D8FD6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lastRenderedPageBreak/>
              <w:t>2.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567E5420" w14:textId="77777777" w:rsidR="002102D2" w:rsidRPr="00B362BA" w:rsidRDefault="002102D2" w:rsidP="00F92BD9">
            <w:pPr>
              <w:ind w:left="179"/>
              <w:rPr>
                <w:sz w:val="16"/>
                <w:szCs w:val="16"/>
                <w:shd w:val="clear" w:color="auto" w:fill="FFFFFF"/>
                <w:lang w:eastAsia="cs-CZ"/>
              </w:rPr>
            </w:pPr>
            <w:proofErr w:type="spellStart"/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>Maria</w:t>
            </w:r>
            <w:proofErr w:type="spellEnd"/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>Sramkova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Peter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Vansac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Patrik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Cmorej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Maria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Jackulikova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Annemarie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Naddour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Vladimir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Krcmery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Jarmila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Drgova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Cauda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Roberto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Suvada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Jozef, Benca Juraj,      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Bydzovsky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Jan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Selvaraj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Subramanian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and Eva 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ZacharovaSPECTRUM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OF HUMANIARIAN ASSISTANCE INTERVENTIONS IN  ACUTE  PHYSIOTHERAPY AND NURSING REFUGEE HEALTH UNIT IN NORTERN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BOSNARefugee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Health PhD and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MSc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Public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health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programe John Paul II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Institute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of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missiology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and  UNHCR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camp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Velika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Kladusa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Bosna and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Herzegovina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St. John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Neumann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institute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for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nursing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Pribram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Czech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Republic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SEUC St. Elizabeth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university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nursing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and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rescue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programme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Pribram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Czech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Republic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 </w:t>
            </w:r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>ADM</w:t>
            </w:r>
          </w:p>
          <w:p w14:paraId="476E2531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</w:p>
        </w:tc>
      </w:tr>
      <w:tr w:rsidR="002102D2" w:rsidRPr="00B362BA" w14:paraId="2BEBB661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50B6289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3.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50D0275E" w14:textId="77777777" w:rsidR="002102D2" w:rsidRPr="00B362BA" w:rsidRDefault="002102D2" w:rsidP="00F92BD9">
            <w:pPr>
              <w:ind w:left="179"/>
              <w:rPr>
                <w:b/>
                <w:sz w:val="16"/>
                <w:szCs w:val="16"/>
                <w:lang w:eastAsia="cs-CZ"/>
              </w:rPr>
            </w:pPr>
            <w:r w:rsidRPr="00B362BA">
              <w:rPr>
                <w:sz w:val="16"/>
                <w:szCs w:val="16"/>
                <w:lang w:eastAsia="cs-CZ"/>
              </w:rPr>
              <w:t xml:space="preserve"> Benca, J., </w:t>
            </w:r>
            <w:r w:rsidRPr="00B362BA">
              <w:rPr>
                <w:b/>
                <w:sz w:val="16"/>
                <w:szCs w:val="16"/>
                <w:lang w:eastAsia="cs-CZ"/>
              </w:rPr>
              <w:t>Šramková, M.,</w:t>
            </w:r>
            <w:r w:rsidRPr="00B362BA">
              <w:rPr>
                <w:sz w:val="16"/>
                <w:szCs w:val="16"/>
                <w:lang w:eastAsia="cs-CZ"/>
              </w:rPr>
              <w:t xml:space="preserve"> Páleníková, M., 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Topolská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A.  a kolektív, Bratislava. Akútne situácie a katastrofy v zdravotníckej a sociálnej práci  </w:t>
            </w:r>
            <w:r w:rsidRPr="00B362BA">
              <w:rPr>
                <w:b/>
                <w:sz w:val="16"/>
                <w:szCs w:val="16"/>
                <w:lang w:eastAsia="cs-CZ"/>
              </w:rPr>
              <w:t>ACB</w:t>
            </w:r>
          </w:p>
          <w:p w14:paraId="5C8315E4" w14:textId="77777777" w:rsidR="002102D2" w:rsidRPr="00B362BA" w:rsidRDefault="002102D2" w:rsidP="00F92BD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102D2" w:rsidRPr="00B362BA" w14:paraId="3A9FED28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CC065F5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4.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4C141CC1" w14:textId="77777777" w:rsidR="002102D2" w:rsidRPr="00B362BA" w:rsidRDefault="002102D2" w:rsidP="00F92BD9">
            <w:pPr>
              <w:spacing w:after="240" w:line="276" w:lineRule="auto"/>
              <w:ind w:left="179"/>
              <w:rPr>
                <w:sz w:val="16"/>
                <w:szCs w:val="16"/>
                <w:lang w:eastAsia="cs-CZ"/>
              </w:rPr>
            </w:pPr>
            <w:r w:rsidRPr="00B362BA">
              <w:rPr>
                <w:sz w:val="16"/>
                <w:szCs w:val="16"/>
                <w:lang w:eastAsia="cs-CZ"/>
              </w:rPr>
              <w:t xml:space="preserve">Šramková, M.: DIC, SIRS, MODS –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syndromy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vyskytujúce sa u pacientov v kritickom stave. in: Medicínsky monitor, 3, 2017, s. 1-7  </w:t>
            </w:r>
            <w:r w:rsidRPr="00B362BA">
              <w:rPr>
                <w:b/>
                <w:sz w:val="16"/>
                <w:szCs w:val="16"/>
                <w:lang w:eastAsia="cs-CZ"/>
              </w:rPr>
              <w:t>ADF</w:t>
            </w:r>
          </w:p>
        </w:tc>
      </w:tr>
      <w:tr w:rsidR="002102D2" w:rsidRPr="00B362BA" w14:paraId="478C2B49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459F797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5.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2A7C3073" w14:textId="77777777" w:rsidR="002102D2" w:rsidRPr="00B362BA" w:rsidRDefault="002102D2" w:rsidP="00F92BD9">
            <w:pPr>
              <w:ind w:left="179"/>
              <w:jc w:val="both"/>
              <w:rPr>
                <w:sz w:val="16"/>
                <w:szCs w:val="16"/>
                <w:lang w:eastAsia="cs-CZ"/>
              </w:rPr>
            </w:pPr>
            <w:proofErr w:type="spellStart"/>
            <w:r w:rsidRPr="00B362BA">
              <w:rPr>
                <w:b/>
                <w:sz w:val="16"/>
                <w:szCs w:val="16"/>
                <w:lang w:eastAsia="cs-CZ"/>
              </w:rPr>
              <w:t>Sramkova</w:t>
            </w:r>
            <w:proofErr w:type="spellEnd"/>
            <w:r w:rsidRPr="00B362BA">
              <w:rPr>
                <w:b/>
                <w:sz w:val="16"/>
                <w:szCs w:val="16"/>
                <w:lang w:eastAsia="cs-CZ"/>
              </w:rPr>
              <w:t xml:space="preserve"> M.,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Zacharova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E,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Kalatova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D,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Kozon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V, Matejova A,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Bydzovsky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J, 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Czarneczki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Gensor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Kysel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Ziak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Muss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Herdics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G,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Vallova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Bartosovic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Cmorej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P., and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Grey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E.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Expanded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Education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Rescue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Physiotherapist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Nurses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in V4 –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adaptation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for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refugee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crisis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letter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)St. John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Neumann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Institute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Pribram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Czech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Republic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St.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Lesley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College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of SEU, Nove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Zamky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Slovakia, IGAP,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Zurich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Switzerland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SEUC program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for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refugees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migrants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Vámoszabadi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Hungary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Management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University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Warsaw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Poland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  </w:t>
            </w:r>
            <w:r w:rsidRPr="00B362BA">
              <w:rPr>
                <w:b/>
                <w:sz w:val="16"/>
                <w:szCs w:val="16"/>
                <w:lang w:eastAsia="cs-CZ"/>
              </w:rPr>
              <w:t>ADM</w:t>
            </w:r>
          </w:p>
          <w:p w14:paraId="795B8863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</w:p>
        </w:tc>
      </w:tr>
      <w:tr w:rsidR="002102D2" w:rsidRPr="00B362BA" w14:paraId="389EBF0F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6569F5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IV.3 Najvýznamnejšie publikované vedecké práce verejne realizované alebo prezentované umelecké diela alebo výkony za posledných  šesť rokov. Maximálne päť výstupov.</w:t>
            </w:r>
          </w:p>
        </w:tc>
      </w:tr>
      <w:tr w:rsidR="002102D2" w:rsidRPr="00B362BA" w14:paraId="4B58266D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3D14813C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1.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56AEAC05" w14:textId="77777777" w:rsidR="002102D2" w:rsidRPr="00B362BA" w:rsidRDefault="002102D2" w:rsidP="00F92BD9">
            <w:pPr>
              <w:spacing w:line="276" w:lineRule="auto"/>
              <w:ind w:left="746" w:hanging="709"/>
              <w:jc w:val="both"/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t xml:space="preserve">  FRITZMANN,M.,PAĽUN, M.,ŠRAMKOVÁ, M., VALACH, M. 2018. Bratislava,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vs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sv.Alzbety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>. THE</w:t>
            </w:r>
          </w:p>
          <w:p w14:paraId="060A11C3" w14:textId="77777777" w:rsidR="002102D2" w:rsidRPr="00B362BA" w:rsidRDefault="002102D2" w:rsidP="00F92BD9">
            <w:pPr>
              <w:spacing w:line="276" w:lineRule="auto"/>
              <w:ind w:left="746" w:hanging="709"/>
              <w:jc w:val="both"/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t xml:space="preserve">  INCIDENCE OF COLORECTAL CANCER IN THE REGION PARTIZÁNSKE</w:t>
            </w:r>
            <w:r w:rsidRPr="00B362BA">
              <w:rPr>
                <w:b/>
                <w:sz w:val="16"/>
                <w:szCs w:val="16"/>
                <w:lang w:eastAsia="cs-CZ"/>
              </w:rPr>
              <w:t xml:space="preserve"> AAA </w:t>
            </w:r>
          </w:p>
        </w:tc>
      </w:tr>
      <w:tr w:rsidR="002102D2" w:rsidRPr="00B362BA" w14:paraId="0803CA68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0FC7137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2.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63429D56" w14:textId="77777777" w:rsidR="002102D2" w:rsidRPr="00B362BA" w:rsidRDefault="002102D2" w:rsidP="00F92BD9">
            <w:pPr>
              <w:ind w:left="179"/>
              <w:rPr>
                <w:sz w:val="16"/>
                <w:szCs w:val="16"/>
                <w:shd w:val="clear" w:color="auto" w:fill="FFFFFF"/>
                <w:lang w:eastAsia="cs-CZ"/>
              </w:rPr>
            </w:pPr>
            <w:proofErr w:type="spellStart"/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>Maria</w:t>
            </w:r>
            <w:proofErr w:type="spellEnd"/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>Sramkova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Peter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Vansac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Patrik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Cmorej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Maria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Jackulikova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Annemarie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Naddour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Vladimir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Krcmery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Jarmila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Drgova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Cauda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Roberto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Suvada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Jozef, Benca Juraj,      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Bydzovsky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Jan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Selvaraj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Subramanian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and Eva 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ZacharovaSPECTRUM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OF HUMANIARIAN ASSISTANCE INTERVENTIONS IN  ACUTE  PHYSIOTHERAPY AND NURSING REFUGEE HEALTH UNIT IN NORTERN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BOSNARefugee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Health PhD and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MSc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Public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health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programe John Paul II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Institute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of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missiology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and  UNHCR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camp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Velika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Kladusa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Bosna and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Herzegovina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St. John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Neumann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institute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for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nursing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Pribram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Czech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Republic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SEUC St. Elizabeth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university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nursing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and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rescue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prog</w:t>
            </w:r>
            <w:r>
              <w:rPr>
                <w:sz w:val="16"/>
                <w:szCs w:val="16"/>
                <w:shd w:val="clear" w:color="auto" w:fill="FFFFFF"/>
                <w:lang w:eastAsia="cs-CZ"/>
              </w:rPr>
              <w:t>ramme</w:t>
            </w:r>
            <w:proofErr w:type="spellEnd"/>
            <w:r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eastAsia="cs-CZ"/>
              </w:rPr>
              <w:t>Pribram</w:t>
            </w:r>
            <w:proofErr w:type="spellEnd"/>
            <w:r>
              <w:rPr>
                <w:sz w:val="16"/>
                <w:szCs w:val="16"/>
                <w:shd w:val="clear" w:color="auto" w:fill="FFFFFF"/>
                <w:lang w:eastAsia="cs-CZ"/>
              </w:rPr>
              <w:t xml:space="preserve">,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eastAsia="cs-CZ"/>
              </w:rPr>
              <w:t>Czech</w:t>
            </w:r>
            <w:proofErr w:type="spellEnd"/>
            <w:r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eastAsia="cs-CZ"/>
              </w:rPr>
              <w:t>Republic</w:t>
            </w:r>
            <w:proofErr w:type="spellEnd"/>
            <w:r>
              <w:rPr>
                <w:sz w:val="16"/>
                <w:szCs w:val="16"/>
                <w:shd w:val="clear" w:color="auto" w:fill="FFFFFF"/>
                <w:lang w:eastAsia="cs-CZ"/>
              </w:rPr>
              <w:t xml:space="preserve"> . </w:t>
            </w:r>
            <w:bookmarkStart w:id="0" w:name="OLE_LINK173"/>
            <w:proofErr w:type="spellStart"/>
            <w:r>
              <w:rPr>
                <w:sz w:val="16"/>
                <w:szCs w:val="16"/>
                <w:shd w:val="clear" w:color="auto" w:fill="FFFFFF"/>
                <w:lang w:eastAsia="cs-CZ"/>
              </w:rPr>
              <w:t>Clinical</w:t>
            </w:r>
            <w:proofErr w:type="spellEnd"/>
            <w:r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eastAsia="cs-CZ"/>
              </w:rPr>
              <w:t>social</w:t>
            </w:r>
            <w:proofErr w:type="spellEnd"/>
            <w:r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>
              <w:rPr>
                <w:sz w:val="16"/>
                <w:szCs w:val="16"/>
                <w:shd w:val="clear" w:color="auto" w:fill="FFFFFF"/>
                <w:lang w:eastAsia="cs-CZ"/>
              </w:rPr>
              <w:t>work</w:t>
            </w:r>
            <w:proofErr w:type="spellEnd"/>
            <w:r>
              <w:rPr>
                <w:sz w:val="16"/>
                <w:szCs w:val="16"/>
                <w:shd w:val="clear" w:color="auto" w:fill="FFFFFF"/>
                <w:lang w:eastAsia="cs-CZ"/>
              </w:rPr>
              <w:t xml:space="preserve"> ,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WoS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>Impact</w:t>
            </w:r>
            <w:proofErr w:type="spellEnd"/>
            <w:r w:rsidRPr="00B362BA">
              <w:rPr>
                <w:sz w:val="16"/>
                <w:szCs w:val="16"/>
                <w:shd w:val="clear" w:color="auto" w:fill="FFFFFF"/>
                <w:lang w:eastAsia="cs-CZ"/>
              </w:rPr>
              <w:t xml:space="preserve"> 0.77 </w:t>
            </w:r>
            <w:r w:rsidRPr="00B362BA">
              <w:rPr>
                <w:b/>
                <w:sz w:val="16"/>
                <w:szCs w:val="16"/>
                <w:shd w:val="clear" w:color="auto" w:fill="FFFFFF"/>
                <w:lang w:eastAsia="cs-CZ"/>
              </w:rPr>
              <w:t>ADM</w:t>
            </w:r>
            <w:bookmarkEnd w:id="0"/>
          </w:p>
          <w:p w14:paraId="0D9AD5AB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</w:p>
        </w:tc>
      </w:tr>
      <w:tr w:rsidR="002102D2" w:rsidRPr="00B362BA" w14:paraId="69791F0F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4789D9F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3.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7243AC2F" w14:textId="77777777" w:rsidR="002102D2" w:rsidRPr="00B362BA" w:rsidRDefault="002102D2" w:rsidP="00F92BD9">
            <w:pPr>
              <w:ind w:left="179"/>
              <w:rPr>
                <w:b/>
                <w:sz w:val="16"/>
                <w:szCs w:val="16"/>
                <w:lang w:eastAsia="cs-CZ"/>
              </w:rPr>
            </w:pPr>
            <w:r w:rsidRPr="00B362BA">
              <w:rPr>
                <w:sz w:val="16"/>
                <w:szCs w:val="16"/>
                <w:lang w:eastAsia="cs-CZ"/>
              </w:rPr>
              <w:t xml:space="preserve"> Benca, J., </w:t>
            </w:r>
            <w:r w:rsidRPr="00B362BA">
              <w:rPr>
                <w:b/>
                <w:sz w:val="16"/>
                <w:szCs w:val="16"/>
                <w:lang w:eastAsia="cs-CZ"/>
              </w:rPr>
              <w:t>Šramková, M.,</w:t>
            </w:r>
            <w:r w:rsidRPr="00B362BA">
              <w:rPr>
                <w:sz w:val="16"/>
                <w:szCs w:val="16"/>
                <w:lang w:eastAsia="cs-CZ"/>
              </w:rPr>
              <w:t xml:space="preserve"> Páleníková, M., 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Topolská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A.  a kolektív, Bratislava. Akútne situácie a katastrofy v zdravotníckej a sociálnej práci  </w:t>
            </w:r>
            <w:r w:rsidRPr="00B362BA">
              <w:rPr>
                <w:b/>
                <w:sz w:val="16"/>
                <w:szCs w:val="16"/>
                <w:lang w:eastAsia="cs-CZ"/>
              </w:rPr>
              <w:t>ACB</w:t>
            </w:r>
          </w:p>
          <w:p w14:paraId="29317598" w14:textId="77777777" w:rsidR="002102D2" w:rsidRPr="00B362BA" w:rsidRDefault="002102D2" w:rsidP="00F92BD9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2102D2" w:rsidRPr="00B362BA" w14:paraId="4A9715C8" w14:textId="77777777" w:rsidTr="00F92BD9">
        <w:trPr>
          <w:trHeight w:val="48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66A9704B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4.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0D45D207" w14:textId="77777777" w:rsidR="002102D2" w:rsidRPr="00B362BA" w:rsidRDefault="002102D2" w:rsidP="00F92BD9">
            <w:pPr>
              <w:spacing w:after="240" w:line="276" w:lineRule="auto"/>
              <w:ind w:left="179"/>
              <w:rPr>
                <w:sz w:val="16"/>
                <w:szCs w:val="16"/>
                <w:lang w:eastAsia="cs-CZ"/>
              </w:rPr>
            </w:pPr>
            <w:r w:rsidRPr="00B362BA">
              <w:rPr>
                <w:sz w:val="16"/>
                <w:szCs w:val="16"/>
                <w:lang w:eastAsia="cs-CZ"/>
              </w:rPr>
              <w:t xml:space="preserve">Šramková, M.: DIC, SIRS, MODS –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syndromy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vyskytujúce sa u pacientov v kritickom stave. in: Medicínsky monitor, 3, 2017, s. 1-7  </w:t>
            </w:r>
            <w:r w:rsidRPr="00B362BA">
              <w:rPr>
                <w:b/>
                <w:sz w:val="16"/>
                <w:szCs w:val="16"/>
                <w:lang w:eastAsia="cs-CZ"/>
              </w:rPr>
              <w:t>ADF</w:t>
            </w:r>
          </w:p>
        </w:tc>
      </w:tr>
      <w:tr w:rsidR="002102D2" w:rsidRPr="00B362BA" w14:paraId="4EE08588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12B7F30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5.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1CBB0CA3" w14:textId="77777777" w:rsidR="002102D2" w:rsidRPr="00B362BA" w:rsidRDefault="002102D2" w:rsidP="00F92BD9">
            <w:pPr>
              <w:ind w:left="179"/>
              <w:jc w:val="both"/>
              <w:rPr>
                <w:i/>
                <w:sz w:val="16"/>
                <w:szCs w:val="16"/>
              </w:rPr>
            </w:pPr>
            <w:proofErr w:type="spellStart"/>
            <w:r w:rsidRPr="00B362BA">
              <w:rPr>
                <w:b/>
                <w:sz w:val="16"/>
                <w:szCs w:val="16"/>
                <w:lang w:eastAsia="cs-CZ"/>
              </w:rPr>
              <w:t>Sramkova</w:t>
            </w:r>
            <w:proofErr w:type="spellEnd"/>
            <w:r w:rsidRPr="00B362BA">
              <w:rPr>
                <w:b/>
                <w:sz w:val="16"/>
                <w:szCs w:val="16"/>
                <w:lang w:eastAsia="cs-CZ"/>
              </w:rPr>
              <w:t xml:space="preserve"> M.,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Zacharova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E,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Kalatova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D,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Kozon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V, Matejova A,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Bydzovsky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J, 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Czarneczki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Gensor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Kysel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Ziak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J.,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Muss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Herdics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G,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Vallova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Bartosovic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I.,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Cmorej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P., and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Grey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E.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Expanded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Education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Rescue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in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Physiotherapist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Nurses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in V4 –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adaptation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for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refugee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crisis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(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letter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)St. John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Neumann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Institute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Pribram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Czech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Republic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St.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Lesley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College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of SEU, Nove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Zamky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Slovakia, IGAP,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Zurich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Switzerland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SEUC program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for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refugees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and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migrants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Vámoszabadi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Hungary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Management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University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Warsaw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cs-CZ"/>
              </w:rPr>
              <w:t>Poland</w:t>
            </w:r>
            <w:proofErr w:type="spellEnd"/>
            <w:r w:rsidRPr="00B362BA">
              <w:rPr>
                <w:sz w:val="16"/>
                <w:szCs w:val="16"/>
                <w:lang w:eastAsia="cs-CZ"/>
              </w:rPr>
              <w:t xml:space="preserve">   </w:t>
            </w:r>
            <w:proofErr w:type="spellStart"/>
            <w:r w:rsidRPr="00B362BA">
              <w:rPr>
                <w:b/>
                <w:sz w:val="16"/>
                <w:szCs w:val="16"/>
                <w:lang w:eastAsia="cs-CZ"/>
              </w:rPr>
              <w:t>Clinical</w:t>
            </w:r>
            <w:proofErr w:type="spellEnd"/>
            <w:r w:rsidRPr="00B362BA">
              <w:rPr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b/>
                <w:sz w:val="16"/>
                <w:szCs w:val="16"/>
                <w:lang w:eastAsia="cs-CZ"/>
              </w:rPr>
              <w:t>social</w:t>
            </w:r>
            <w:proofErr w:type="spellEnd"/>
            <w:r w:rsidRPr="00B362BA">
              <w:rPr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b/>
                <w:sz w:val="16"/>
                <w:szCs w:val="16"/>
                <w:lang w:eastAsia="cs-CZ"/>
              </w:rPr>
              <w:t>work</w:t>
            </w:r>
            <w:proofErr w:type="spellEnd"/>
            <w:r w:rsidRPr="00B362BA">
              <w:rPr>
                <w:b/>
                <w:sz w:val="16"/>
                <w:szCs w:val="16"/>
                <w:lang w:eastAsia="cs-CZ"/>
              </w:rPr>
              <w:t xml:space="preserve"> , </w:t>
            </w:r>
            <w:proofErr w:type="spellStart"/>
            <w:r w:rsidRPr="00B362BA">
              <w:rPr>
                <w:b/>
                <w:sz w:val="16"/>
                <w:szCs w:val="16"/>
                <w:lang w:eastAsia="cs-CZ"/>
              </w:rPr>
              <w:t>WoS</w:t>
            </w:r>
            <w:proofErr w:type="spellEnd"/>
            <w:r w:rsidRPr="00B362BA">
              <w:rPr>
                <w:b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362BA">
              <w:rPr>
                <w:b/>
                <w:sz w:val="16"/>
                <w:szCs w:val="16"/>
                <w:lang w:eastAsia="cs-CZ"/>
              </w:rPr>
              <w:t>Impact</w:t>
            </w:r>
            <w:proofErr w:type="spellEnd"/>
            <w:r w:rsidRPr="00B362BA">
              <w:rPr>
                <w:b/>
                <w:sz w:val="16"/>
                <w:szCs w:val="16"/>
                <w:lang w:eastAsia="cs-CZ"/>
              </w:rPr>
              <w:t xml:space="preserve"> 0.77 ADM </w:t>
            </w:r>
          </w:p>
        </w:tc>
      </w:tr>
      <w:tr w:rsidR="002102D2" w:rsidRPr="00B362BA" w14:paraId="51A8EFF2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6F94B7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IV.4 Účasť na riešení (vedení) najvýznamnejších vedeckých projektov alebo umeleckých projektov za posledných  šesť rokov. Maximálne päť projektov.</w:t>
            </w:r>
          </w:p>
        </w:tc>
      </w:tr>
      <w:tr w:rsidR="002102D2" w:rsidRPr="00B362BA" w14:paraId="4F3237D4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909EAFB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1.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6C8897BE" w14:textId="77777777" w:rsidR="002102D2" w:rsidRPr="00B362BA" w:rsidRDefault="002102D2" w:rsidP="00F92BD9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362BA">
              <w:rPr>
                <w:sz w:val="16"/>
                <w:szCs w:val="16"/>
                <w:lang w:eastAsia="en-US"/>
              </w:rPr>
              <w:t>Cooperation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study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between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Comenius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University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Bratislava – Department of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Haematology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UHM and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University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of Bordeaux II –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Laboratory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of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Haematology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2 000:  ENDOTHELIAL MARKERS IN DISSEMINATED INTRAVACULAR COAGULATION</w:t>
            </w:r>
          </w:p>
        </w:tc>
      </w:tr>
      <w:tr w:rsidR="002102D2" w:rsidRPr="00B362BA" w14:paraId="75C973E2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49497C1" w14:textId="77777777" w:rsidR="002102D2" w:rsidRPr="00B362BA" w:rsidRDefault="002102D2" w:rsidP="00F92BD9">
            <w:pPr>
              <w:rPr>
                <w:sz w:val="16"/>
                <w:szCs w:val="16"/>
                <w:lang w:eastAsia="en-US"/>
              </w:rPr>
            </w:pPr>
            <w:r w:rsidRPr="00B362BA">
              <w:rPr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638EBBDA" w14:textId="77777777" w:rsidR="002102D2" w:rsidRPr="00B362BA" w:rsidRDefault="002102D2" w:rsidP="00F92BD9">
            <w:pPr>
              <w:rPr>
                <w:sz w:val="16"/>
                <w:szCs w:val="16"/>
                <w:lang w:eastAsia="en-US"/>
              </w:rPr>
            </w:pPr>
            <w:proofErr w:type="spellStart"/>
            <w:r w:rsidRPr="00B362BA">
              <w:rPr>
                <w:sz w:val="16"/>
                <w:szCs w:val="16"/>
                <w:lang w:eastAsia="en-US"/>
              </w:rPr>
              <w:t>Kooperat.štúdia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KAIM SZU Bratislava a Kliniky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hematologie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UN Martin 2001: Komplikácie liečby </w:t>
            </w:r>
            <w:proofErr w:type="spellStart"/>
            <w:r w:rsidRPr="00B362BA">
              <w:rPr>
                <w:sz w:val="16"/>
                <w:szCs w:val="16"/>
                <w:lang w:eastAsia="en-US"/>
              </w:rPr>
              <w:t>hmoragického</w:t>
            </w:r>
            <w:proofErr w:type="spellEnd"/>
            <w:r w:rsidRPr="00B362BA">
              <w:rPr>
                <w:sz w:val="16"/>
                <w:szCs w:val="16"/>
                <w:lang w:eastAsia="en-US"/>
              </w:rPr>
              <w:t xml:space="preserve"> šoku – laboratórne sledovanie endotelových markerov 2002,</w:t>
            </w:r>
          </w:p>
        </w:tc>
      </w:tr>
      <w:tr w:rsidR="002102D2" w:rsidRPr="00B362BA" w14:paraId="0E95E760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C6F8F33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3.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6ED57928" w14:textId="77777777" w:rsidR="002102D2" w:rsidRPr="00B362BA" w:rsidRDefault="002102D2" w:rsidP="00F92BD9">
            <w:pPr>
              <w:jc w:val="both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2102D2" w:rsidRPr="00B362BA" w14:paraId="35D70099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7D9FA76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4.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706A3743" w14:textId="77777777" w:rsidR="002102D2" w:rsidRPr="00B362BA" w:rsidRDefault="002102D2" w:rsidP="00F92BD9">
            <w:pPr>
              <w:rPr>
                <w:i/>
                <w:sz w:val="20"/>
              </w:rPr>
            </w:pPr>
          </w:p>
        </w:tc>
      </w:tr>
      <w:tr w:rsidR="002102D2" w:rsidRPr="00B362BA" w14:paraId="09DFABD4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143EBFC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5.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46501919" w14:textId="77777777" w:rsidR="002102D2" w:rsidRPr="00B362BA" w:rsidRDefault="002102D2" w:rsidP="00F92BD9">
            <w:pPr>
              <w:rPr>
                <w:i/>
                <w:sz w:val="20"/>
              </w:rPr>
            </w:pPr>
          </w:p>
        </w:tc>
      </w:tr>
      <w:tr w:rsidR="002102D2" w:rsidRPr="00B362BA" w14:paraId="093BC23C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F8C07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IV.5 Výstupy v oblasti poznania príslušného študijného odboru s najvýznamnejšími ohlasmi a prehľad ohlasov na tieto výstupy. Maximálne päť výstupov a desať najvýznamnejších ohlasov na jeden výstup.</w:t>
            </w:r>
          </w:p>
        </w:tc>
      </w:tr>
      <w:tr w:rsidR="002102D2" w:rsidRPr="00B362BA" w14:paraId="203C49C4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54973B8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1.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48D3B20A" w14:textId="77777777" w:rsidR="002102D2" w:rsidRPr="00B362BA" w:rsidRDefault="002102D2" w:rsidP="00F92BD9">
            <w:pPr>
              <w:spacing w:after="160" w:line="259" w:lineRule="auto"/>
              <w:rPr>
                <w:b/>
                <w:sz w:val="16"/>
                <w:szCs w:val="16"/>
                <w:lang w:eastAsia="en-US"/>
              </w:rPr>
            </w:pPr>
            <w:r w:rsidRPr="00B362BA">
              <w:rPr>
                <w:b/>
                <w:sz w:val="16"/>
                <w:szCs w:val="16"/>
                <w:lang w:eastAsia="en-US"/>
              </w:rPr>
              <w:t xml:space="preserve">Šramková, M.: </w:t>
            </w:r>
            <w:proofErr w:type="spellStart"/>
            <w:r w:rsidRPr="00B362BA">
              <w:rPr>
                <w:b/>
                <w:sz w:val="16"/>
                <w:szCs w:val="16"/>
                <w:lang w:eastAsia="en-US"/>
              </w:rPr>
              <w:t>Hemoragický</w:t>
            </w:r>
            <w:proofErr w:type="spellEnd"/>
            <w:r w:rsidRPr="00B362BA">
              <w:rPr>
                <w:b/>
                <w:sz w:val="16"/>
                <w:szCs w:val="16"/>
                <w:lang w:eastAsia="en-US"/>
              </w:rPr>
              <w:t xml:space="preserve"> šok a komplikácie liečby </w:t>
            </w:r>
            <w:proofErr w:type="spellStart"/>
            <w:r w:rsidRPr="00B362BA">
              <w:rPr>
                <w:b/>
                <w:sz w:val="16"/>
                <w:szCs w:val="16"/>
                <w:lang w:eastAsia="en-US"/>
              </w:rPr>
              <w:t>hemoragického</w:t>
            </w:r>
            <w:proofErr w:type="spellEnd"/>
            <w:r w:rsidRPr="00B362BA">
              <w:rPr>
                <w:b/>
                <w:sz w:val="16"/>
                <w:szCs w:val="16"/>
                <w:lang w:eastAsia="en-US"/>
              </w:rPr>
              <w:t xml:space="preserve"> šoku pri liečbe masívnymi transfúziami. 10. Kongres slovenských anestéziológov s medzinárodnou účasťou, Piešťany 16.mája 2003, Organizátor: SSAIM  , Zborník 10KSA, 2003, 85pp</w:t>
            </w:r>
          </w:p>
          <w:p w14:paraId="7C61F71B" w14:textId="77777777" w:rsidR="002102D2" w:rsidRPr="00B362BA" w:rsidRDefault="002102D2" w:rsidP="00F92BD9">
            <w:pPr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Citované (9 x ) v: </w:t>
            </w:r>
          </w:p>
          <w:p w14:paraId="5551BFF7" w14:textId="77777777" w:rsidR="002102D2" w:rsidRPr="00B362BA" w:rsidRDefault="002102D2" w:rsidP="00F92BD9">
            <w:pPr>
              <w:rPr>
                <w:b/>
                <w:sz w:val="16"/>
                <w:szCs w:val="16"/>
              </w:rPr>
            </w:pPr>
          </w:p>
          <w:p w14:paraId="3C3E5BFE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1.</w:t>
            </w:r>
            <w:r w:rsidRPr="00B362BA">
              <w:rPr>
                <w:i/>
                <w:sz w:val="16"/>
                <w:szCs w:val="16"/>
                <w:lang w:eastAsia="en-US"/>
              </w:rPr>
              <w:tab/>
              <w:t xml:space="preserve">Dopad migračnej krízy na pandémiu HIV, TBC a Maláriu/ J.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Kafková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V. Krčméry, M. Červenková, Daniel, D.,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Benson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A.,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Babiková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B., A. Peciar,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Durecová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B.,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Dorko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D.,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Mulama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K., 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Muller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K.,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Trilisinsky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V,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Trilisinska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J., Molnárová, K.,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Zollerová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K.,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Jackuliaková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M.,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Hajdenová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Z., P.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Hajj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Ali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In: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s.3-6</w:t>
            </w:r>
          </w:p>
          <w:p w14:paraId="3F5C0361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2.</w:t>
            </w:r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ab/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Chemoprofylaxia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, chemoterapia a 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screening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komplikovanej malárie u migrantov/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Jiřina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Kafková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, Vladimír Krčméry, Daria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Kimuli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362BA">
              <w:rPr>
                <w:i/>
                <w:sz w:val="16"/>
                <w:szCs w:val="16"/>
                <w:lang w:eastAsia="en-US"/>
              </w:rPr>
              <w:t xml:space="preserve">In: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s.7-9</w:t>
            </w:r>
          </w:p>
          <w:p w14:paraId="47FA6D7D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3.</w:t>
            </w:r>
            <w:r w:rsidRPr="00B362BA">
              <w:rPr>
                <w:i/>
                <w:sz w:val="16"/>
                <w:szCs w:val="16"/>
                <w:lang w:eastAsia="en-US"/>
              </w:rPr>
              <w:tab/>
              <w:t xml:space="preserve">Súčasné a perspektívne nové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antimikrobiálne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lieky v starostlivosti o migrantov/ V. Krčméry, J.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Kafková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In:Acta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s.10-22</w:t>
            </w:r>
          </w:p>
          <w:p w14:paraId="6D4738A9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lastRenderedPageBreak/>
              <w:t>4.</w:t>
            </w:r>
            <w:r w:rsidRPr="00B362BA">
              <w:rPr>
                <w:i/>
                <w:sz w:val="16"/>
                <w:szCs w:val="16"/>
                <w:lang w:eastAsia="en-US"/>
              </w:rPr>
              <w:tab/>
              <w:t>Infekcie u 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imunosuprimovaných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pacientov v trópoch (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Case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report)/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Jiřina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Kafková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Michaela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Mulera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Catherine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Mulama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In: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s.23-28</w:t>
            </w:r>
          </w:p>
          <w:p w14:paraId="6055ACF2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5.</w:t>
            </w:r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ab/>
              <w:t xml:space="preserve">Náboženstvo a infekčné choroby/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Peri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Haj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Ali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Selvaraj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Subramanian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a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Jiřina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>Kafková</w:t>
            </w:r>
            <w:proofErr w:type="spellEnd"/>
            <w:r w:rsidRPr="00B362BA">
              <w:rPr>
                <w:i/>
                <w:color w:val="000000"/>
                <w:sz w:val="16"/>
                <w:szCs w:val="16"/>
                <w:lang w:eastAsia="en-US"/>
              </w:rPr>
              <w:t xml:space="preserve"> In: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s.28-35</w:t>
            </w:r>
          </w:p>
          <w:p w14:paraId="51D89C00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6.</w:t>
            </w:r>
            <w:r w:rsidRPr="00B362BA">
              <w:rPr>
                <w:i/>
                <w:sz w:val="16"/>
                <w:szCs w:val="16"/>
                <w:lang w:eastAsia="en-US"/>
              </w:rPr>
              <w:tab/>
              <w:t xml:space="preserve">Invazívne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mykotické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infekcie u pacientov s HIV a u pacientov s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non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-HIV zisteným imunitným deficitom/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Jiřina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Kafkova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Vladimír Krčméry, Róbert Kováč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In:Acta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s.35-47</w:t>
            </w:r>
          </w:p>
          <w:p w14:paraId="7DE58EE7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7.</w:t>
            </w:r>
            <w:r w:rsidRPr="00B362BA">
              <w:rPr>
                <w:i/>
                <w:sz w:val="16"/>
                <w:szCs w:val="16"/>
                <w:lang w:eastAsia="en-US"/>
              </w:rPr>
              <w:tab/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Screening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infekcií u cestovateľov do trópov/J.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Kafková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V. Krčméry In: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s.47-51</w:t>
            </w:r>
          </w:p>
          <w:p w14:paraId="6AA82B20" w14:textId="77777777" w:rsidR="002102D2" w:rsidRPr="00B362BA" w:rsidRDefault="002102D2" w:rsidP="00F92BD9">
            <w:pPr>
              <w:spacing w:after="160" w:line="259" w:lineRule="auto"/>
              <w:ind w:left="705" w:hanging="705"/>
              <w:rPr>
                <w:i/>
                <w:sz w:val="16"/>
                <w:szCs w:val="16"/>
                <w:lang w:eastAsia="en-US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>8.</w:t>
            </w:r>
            <w:r w:rsidRPr="00B362BA">
              <w:rPr>
                <w:i/>
                <w:sz w:val="16"/>
                <w:szCs w:val="16"/>
                <w:lang w:eastAsia="en-US"/>
              </w:rPr>
              <w:tab/>
              <w:t xml:space="preserve">Klinický obraz, riziká, diagnostika a liečba invazívnych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mykotických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infekcií:                J.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Kafková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J.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Gabzdilová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P.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Kalanin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Š.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Raffač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, P.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Jarčuška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In: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Acta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B362BA">
              <w:rPr>
                <w:i/>
                <w:sz w:val="16"/>
                <w:szCs w:val="16"/>
                <w:lang w:eastAsia="en-US"/>
              </w:rPr>
              <w:t>chemoterapeutica</w:t>
            </w:r>
            <w:proofErr w:type="spellEnd"/>
            <w:r w:rsidRPr="00B362BA">
              <w:rPr>
                <w:i/>
                <w:sz w:val="16"/>
                <w:szCs w:val="16"/>
                <w:lang w:eastAsia="en-US"/>
              </w:rPr>
              <w:t>. Roč. 26, č.3-4, 2017, ISSN 1335-0579, s.51-62</w:t>
            </w:r>
          </w:p>
          <w:p w14:paraId="508B6A87" w14:textId="77777777" w:rsidR="002102D2" w:rsidRPr="00B362BA" w:rsidRDefault="002102D2" w:rsidP="00F92BD9">
            <w:pPr>
              <w:rPr>
                <w:sz w:val="16"/>
                <w:szCs w:val="16"/>
              </w:rPr>
            </w:pPr>
            <w:r w:rsidRPr="00B362BA">
              <w:rPr>
                <w:i/>
                <w:sz w:val="16"/>
                <w:szCs w:val="16"/>
                <w:lang w:eastAsia="en-US"/>
              </w:rPr>
              <w:t xml:space="preserve">9.        </w:t>
            </w:r>
            <w:r w:rsidRPr="00B362BA">
              <w:rPr>
                <w:bCs/>
                <w:sz w:val="16"/>
                <w:szCs w:val="16"/>
              </w:rPr>
              <w:t>VÝBER ATB PODĽA TYPU INFEKCIE (LETTER)</w:t>
            </w:r>
          </w:p>
          <w:p w14:paraId="0F829935" w14:textId="77777777" w:rsidR="002102D2" w:rsidRPr="00B362BA" w:rsidRDefault="002102D2" w:rsidP="00F92BD9">
            <w:pPr>
              <w:rPr>
                <w:i/>
                <w:iCs/>
                <w:sz w:val="16"/>
                <w:szCs w:val="16"/>
              </w:rPr>
            </w:pPr>
            <w:r w:rsidRPr="00B362BA">
              <w:rPr>
                <w:i/>
                <w:iCs/>
                <w:sz w:val="16"/>
                <w:szCs w:val="16"/>
              </w:rPr>
              <w:t xml:space="preserve">           V. Krčméry, J. </w:t>
            </w:r>
            <w:proofErr w:type="spellStart"/>
            <w:r w:rsidRPr="00B362BA">
              <w:rPr>
                <w:i/>
                <w:iCs/>
                <w:sz w:val="16"/>
                <w:szCs w:val="16"/>
              </w:rPr>
              <w:t>Kafková</w:t>
            </w:r>
            <w:proofErr w:type="spellEnd"/>
            <w:r w:rsidRPr="00B362BA">
              <w:rPr>
                <w:rFonts w:ascii="TimesNewRomanPS-ItalicMT" w:hAnsi="TimesNewRomanPS-ItalicMT" w:cs="TimesNewRomanPS-ItalicMT"/>
                <w:i/>
                <w:iCs/>
                <w:sz w:val="16"/>
                <w:szCs w:val="16"/>
              </w:rPr>
              <w:t xml:space="preserve"> </w:t>
            </w:r>
            <w:r w:rsidRPr="00B362BA">
              <w:rPr>
                <w:i/>
                <w:iCs/>
                <w:sz w:val="16"/>
                <w:szCs w:val="16"/>
              </w:rPr>
              <w:t xml:space="preserve">In: </w:t>
            </w:r>
            <w:proofErr w:type="spellStart"/>
            <w:r w:rsidRPr="00B362BA">
              <w:rPr>
                <w:i/>
                <w:iCs/>
                <w:sz w:val="16"/>
                <w:szCs w:val="16"/>
              </w:rPr>
              <w:t>Acta</w:t>
            </w:r>
            <w:proofErr w:type="spellEnd"/>
            <w:r w:rsidRPr="00B362BA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i/>
                <w:iCs/>
                <w:sz w:val="16"/>
                <w:szCs w:val="16"/>
              </w:rPr>
              <w:t>Chemoterapeutica</w:t>
            </w:r>
            <w:proofErr w:type="spellEnd"/>
            <w:r w:rsidRPr="00B362BA">
              <w:rPr>
                <w:i/>
                <w:iCs/>
                <w:sz w:val="16"/>
                <w:szCs w:val="16"/>
              </w:rPr>
              <w:t>, 3-4/2017, ISSN 1335-0579, 44-45</w:t>
            </w:r>
          </w:p>
        </w:tc>
      </w:tr>
      <w:tr w:rsidR="002102D2" w:rsidRPr="00B362BA" w14:paraId="261C3C90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3E6B0EE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lastRenderedPageBreak/>
              <w:t>2.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041E744E" w14:textId="77777777" w:rsidR="002102D2" w:rsidRPr="00B362BA" w:rsidRDefault="002102D2" w:rsidP="00F92BD9">
            <w:pPr>
              <w:ind w:left="708"/>
              <w:jc w:val="both"/>
              <w:rPr>
                <w:color w:val="FF0000"/>
                <w:sz w:val="16"/>
                <w:szCs w:val="16"/>
              </w:rPr>
            </w:pPr>
          </w:p>
          <w:p w14:paraId="1F607FA6" w14:textId="77777777" w:rsidR="002102D2" w:rsidRPr="00B362BA" w:rsidRDefault="002102D2" w:rsidP="00F92BD9">
            <w:pPr>
              <w:spacing w:line="276" w:lineRule="auto"/>
              <w:rPr>
                <w:b/>
                <w:sz w:val="16"/>
                <w:szCs w:val="16"/>
              </w:rPr>
            </w:pPr>
            <w:r w:rsidRPr="00B362BA">
              <w:rPr>
                <w:b/>
                <w:sz w:val="16"/>
                <w:szCs w:val="16"/>
              </w:rPr>
              <w:t>Šramková, M.: Čo označuje termín "</w:t>
            </w:r>
            <w:proofErr w:type="spellStart"/>
            <w:r w:rsidRPr="00B362BA">
              <w:rPr>
                <w:b/>
                <w:sz w:val="16"/>
                <w:szCs w:val="16"/>
              </w:rPr>
              <w:t>diseminovaná</w:t>
            </w:r>
            <w:proofErr w:type="spellEnd"/>
            <w:r w:rsidRPr="00B362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b/>
                <w:sz w:val="16"/>
                <w:szCs w:val="16"/>
              </w:rPr>
              <w:t>intravaskulárna</w:t>
            </w:r>
            <w:proofErr w:type="spellEnd"/>
            <w:r w:rsidRPr="00B362BA">
              <w:rPr>
                <w:b/>
                <w:sz w:val="16"/>
                <w:szCs w:val="16"/>
              </w:rPr>
              <w:t xml:space="preserve"> koagulácia"?, In: Medicínsky monitor, Č. 5 (2003), s. 22-25</w:t>
            </w:r>
          </w:p>
          <w:p w14:paraId="540DB654" w14:textId="77777777" w:rsidR="002102D2" w:rsidRPr="00B362BA" w:rsidRDefault="002102D2" w:rsidP="00F92BD9">
            <w:pPr>
              <w:spacing w:line="276" w:lineRule="auto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>Citované (1 x ) v:</w:t>
            </w:r>
          </w:p>
          <w:p w14:paraId="2D18A91B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[o4] </w:t>
            </w:r>
            <w:proofErr w:type="spellStart"/>
            <w:r w:rsidRPr="00B362BA">
              <w:rPr>
                <w:sz w:val="16"/>
                <w:szCs w:val="16"/>
              </w:rPr>
              <w:t>Kálig</w:t>
            </w:r>
            <w:proofErr w:type="spellEnd"/>
            <w:r w:rsidRPr="00B362BA">
              <w:rPr>
                <w:sz w:val="16"/>
                <w:szCs w:val="16"/>
              </w:rPr>
              <w:t xml:space="preserve">, K. - </w:t>
            </w:r>
            <w:proofErr w:type="spellStart"/>
            <w:r w:rsidRPr="00B362BA">
              <w:rPr>
                <w:sz w:val="16"/>
                <w:szCs w:val="16"/>
              </w:rPr>
              <w:t>Kalnášová</w:t>
            </w:r>
            <w:proofErr w:type="spellEnd"/>
            <w:r w:rsidRPr="00B362BA">
              <w:rPr>
                <w:sz w:val="16"/>
                <w:szCs w:val="16"/>
              </w:rPr>
              <w:t xml:space="preserve">, B.: Šok a </w:t>
            </w:r>
            <w:proofErr w:type="spellStart"/>
            <w:r w:rsidRPr="00B362BA">
              <w:rPr>
                <w:sz w:val="16"/>
                <w:szCs w:val="16"/>
              </w:rPr>
              <w:t>multiorgánové</w:t>
            </w:r>
            <w:proofErr w:type="spellEnd"/>
            <w:r w:rsidRPr="00B362BA">
              <w:rPr>
                <w:sz w:val="16"/>
                <w:szCs w:val="16"/>
              </w:rPr>
              <w:t xml:space="preserve"> zlyhanie. In: Anestéziológia a intenzívna medicína. - Košice : </w:t>
            </w:r>
            <w:proofErr w:type="spellStart"/>
            <w:r w:rsidRPr="00B362BA">
              <w:rPr>
                <w:sz w:val="16"/>
                <w:szCs w:val="16"/>
              </w:rPr>
              <w:t>Aprilla</w:t>
            </w:r>
            <w:proofErr w:type="spellEnd"/>
            <w:r w:rsidRPr="00B362BA">
              <w:rPr>
                <w:sz w:val="16"/>
                <w:szCs w:val="16"/>
              </w:rPr>
              <w:t>, 2009. ISBN 978-80-89346-16-5, s. 315-326</w:t>
            </w:r>
          </w:p>
        </w:tc>
      </w:tr>
      <w:tr w:rsidR="002102D2" w:rsidRPr="00B362BA" w14:paraId="0E3E1592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244C2C4B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3.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194BF3C5" w14:textId="77777777" w:rsidR="002102D2" w:rsidRPr="00B362BA" w:rsidRDefault="002102D2" w:rsidP="00F92BD9">
            <w:pPr>
              <w:spacing w:line="276" w:lineRule="auto"/>
              <w:rPr>
                <w:b/>
                <w:sz w:val="16"/>
                <w:szCs w:val="16"/>
              </w:rPr>
            </w:pPr>
            <w:r w:rsidRPr="00B362BA">
              <w:rPr>
                <w:b/>
                <w:sz w:val="16"/>
                <w:szCs w:val="16"/>
              </w:rPr>
              <w:t>Šramková, M.: Laboratórny monitoring systémovej zápalovej reakcie, Medicínsky monitor, 1, 2003, s. 17-21</w:t>
            </w:r>
          </w:p>
          <w:p w14:paraId="11D37ABA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Citované (1 x ) v: </w:t>
            </w:r>
          </w:p>
          <w:p w14:paraId="7917E0D9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</w:p>
          <w:p w14:paraId="2419D647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[o4] </w:t>
            </w:r>
            <w:proofErr w:type="spellStart"/>
            <w:r w:rsidRPr="00B362BA">
              <w:rPr>
                <w:sz w:val="16"/>
                <w:szCs w:val="16"/>
              </w:rPr>
              <w:t>Galková</w:t>
            </w:r>
            <w:proofErr w:type="spellEnd"/>
            <w:r w:rsidRPr="00B362BA">
              <w:rPr>
                <w:sz w:val="16"/>
                <w:szCs w:val="16"/>
              </w:rPr>
              <w:t>, K. - Májek, M.: Súčasný stav poznatkov o polytraume. In: Úrazová a intenzívna medicína., roč. 4, č. 1, 2009, s. 26-31</w:t>
            </w:r>
          </w:p>
        </w:tc>
      </w:tr>
      <w:tr w:rsidR="002102D2" w:rsidRPr="00B362BA" w14:paraId="2EDF36FE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7ECE4938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4.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4ADBD89D" w14:textId="77777777" w:rsidR="002102D2" w:rsidRPr="00B362BA" w:rsidRDefault="002102D2" w:rsidP="00F92BD9">
            <w:pPr>
              <w:spacing w:line="276" w:lineRule="auto"/>
              <w:rPr>
                <w:b/>
                <w:sz w:val="16"/>
                <w:szCs w:val="16"/>
              </w:rPr>
            </w:pPr>
            <w:r w:rsidRPr="00B362BA">
              <w:rPr>
                <w:b/>
                <w:sz w:val="16"/>
                <w:szCs w:val="16"/>
              </w:rPr>
              <w:t xml:space="preserve">Šramková, M.: DIC, SIRS, MODS - </w:t>
            </w:r>
            <w:proofErr w:type="spellStart"/>
            <w:r w:rsidRPr="00B362BA">
              <w:rPr>
                <w:b/>
                <w:sz w:val="16"/>
                <w:szCs w:val="16"/>
              </w:rPr>
              <w:t>syndromy</w:t>
            </w:r>
            <w:proofErr w:type="spellEnd"/>
            <w:r w:rsidRPr="00B362BA">
              <w:rPr>
                <w:b/>
                <w:sz w:val="16"/>
                <w:szCs w:val="16"/>
              </w:rPr>
              <w:t xml:space="preserve"> vyskytujúce sa u pacientov v kritickom stave. in: Medicínsky monitor, 3, 2000, s. 1-7</w:t>
            </w:r>
          </w:p>
          <w:p w14:paraId="6F11CED5" w14:textId="77777777" w:rsidR="002102D2" w:rsidRPr="00B362BA" w:rsidRDefault="002102D2" w:rsidP="00F92BD9">
            <w:pPr>
              <w:spacing w:line="276" w:lineRule="auto"/>
              <w:ind w:firstLine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>Citované (2 x ) v:</w:t>
            </w:r>
          </w:p>
          <w:p w14:paraId="1938AC61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</w:p>
          <w:p w14:paraId="2E39C767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 [o4] </w:t>
            </w:r>
            <w:proofErr w:type="spellStart"/>
            <w:r w:rsidRPr="00B362BA">
              <w:rPr>
                <w:sz w:val="16"/>
                <w:szCs w:val="16"/>
              </w:rPr>
              <w:t>Voľanská</w:t>
            </w:r>
            <w:proofErr w:type="spellEnd"/>
            <w:r w:rsidRPr="00B362BA">
              <w:rPr>
                <w:sz w:val="16"/>
                <w:szCs w:val="16"/>
              </w:rPr>
              <w:t xml:space="preserve">, M. - </w:t>
            </w:r>
            <w:proofErr w:type="spellStart"/>
            <w:r w:rsidRPr="00B362BA">
              <w:rPr>
                <w:sz w:val="16"/>
                <w:szCs w:val="16"/>
              </w:rPr>
              <w:t>Závacký</w:t>
            </w:r>
            <w:proofErr w:type="spellEnd"/>
            <w:r w:rsidRPr="00B362BA">
              <w:rPr>
                <w:sz w:val="16"/>
                <w:szCs w:val="16"/>
              </w:rPr>
              <w:t xml:space="preserve">, P. - </w:t>
            </w:r>
            <w:proofErr w:type="spellStart"/>
            <w:r w:rsidRPr="00B362BA">
              <w:rPr>
                <w:sz w:val="16"/>
                <w:szCs w:val="16"/>
              </w:rPr>
              <w:t>Bober</w:t>
            </w:r>
            <w:proofErr w:type="spellEnd"/>
            <w:r w:rsidRPr="00B362BA">
              <w:rPr>
                <w:sz w:val="16"/>
                <w:szCs w:val="16"/>
              </w:rPr>
              <w:t xml:space="preserve">, J.: </w:t>
            </w:r>
            <w:proofErr w:type="spellStart"/>
            <w:r w:rsidRPr="00B362BA">
              <w:rPr>
                <w:sz w:val="16"/>
                <w:szCs w:val="16"/>
              </w:rPr>
              <w:t>Ischaemic-reperfusion</w:t>
            </w:r>
            <w:proofErr w:type="spellEnd"/>
            <w:r w:rsidRPr="00B362BA">
              <w:rPr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</w:rPr>
              <w:t>damage</w:t>
            </w:r>
            <w:proofErr w:type="spellEnd"/>
            <w:r w:rsidRPr="00B362BA">
              <w:rPr>
                <w:sz w:val="16"/>
                <w:szCs w:val="16"/>
              </w:rPr>
              <w:t xml:space="preserve"> of </w:t>
            </w:r>
            <w:proofErr w:type="spellStart"/>
            <w:r w:rsidRPr="00B362BA">
              <w:rPr>
                <w:sz w:val="16"/>
                <w:szCs w:val="16"/>
              </w:rPr>
              <w:t>tissue</w:t>
            </w:r>
            <w:proofErr w:type="spellEnd"/>
            <w:r w:rsidRPr="00B362BA">
              <w:rPr>
                <w:sz w:val="16"/>
                <w:szCs w:val="16"/>
              </w:rPr>
              <w:t xml:space="preserve"> and </w:t>
            </w:r>
            <w:proofErr w:type="spellStart"/>
            <w:r w:rsidRPr="00B362BA">
              <w:rPr>
                <w:sz w:val="16"/>
                <w:szCs w:val="16"/>
              </w:rPr>
              <w:t>critical</w:t>
            </w:r>
            <w:proofErr w:type="spellEnd"/>
            <w:r w:rsidRPr="00B362BA">
              <w:rPr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</w:rPr>
              <w:t>limb</w:t>
            </w:r>
            <w:proofErr w:type="spellEnd"/>
            <w:r w:rsidRPr="00B362BA">
              <w:rPr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</w:rPr>
              <w:t>ischaemia</w:t>
            </w:r>
            <w:proofErr w:type="spellEnd"/>
            <w:r w:rsidRPr="00B362BA">
              <w:rPr>
                <w:sz w:val="16"/>
                <w:szCs w:val="16"/>
              </w:rPr>
              <w:t>. In: Bratislavské lekárske listy, roč. 107, č. 6-7, 2006, s. 264-268</w:t>
            </w:r>
          </w:p>
          <w:p w14:paraId="79A37CCD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</w:p>
          <w:p w14:paraId="0FF7C221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[o4] </w:t>
            </w:r>
            <w:proofErr w:type="spellStart"/>
            <w:r w:rsidRPr="00B362BA">
              <w:rPr>
                <w:sz w:val="16"/>
                <w:szCs w:val="16"/>
              </w:rPr>
              <w:t>Voľanská</w:t>
            </w:r>
            <w:proofErr w:type="spellEnd"/>
            <w:r w:rsidRPr="00B362BA">
              <w:rPr>
                <w:sz w:val="16"/>
                <w:szCs w:val="16"/>
              </w:rPr>
              <w:t xml:space="preserve">, M. - </w:t>
            </w:r>
            <w:proofErr w:type="spellStart"/>
            <w:r w:rsidRPr="00B362BA">
              <w:rPr>
                <w:sz w:val="16"/>
                <w:szCs w:val="16"/>
              </w:rPr>
              <w:t>Závacký</w:t>
            </w:r>
            <w:proofErr w:type="spellEnd"/>
            <w:r w:rsidRPr="00B362BA">
              <w:rPr>
                <w:sz w:val="16"/>
                <w:szCs w:val="16"/>
              </w:rPr>
              <w:t xml:space="preserve">, P. - </w:t>
            </w:r>
            <w:proofErr w:type="spellStart"/>
            <w:r w:rsidRPr="00B362BA">
              <w:rPr>
                <w:sz w:val="16"/>
                <w:szCs w:val="16"/>
              </w:rPr>
              <w:t>Bober</w:t>
            </w:r>
            <w:proofErr w:type="spellEnd"/>
            <w:r w:rsidRPr="00B362BA">
              <w:rPr>
                <w:sz w:val="16"/>
                <w:szCs w:val="16"/>
              </w:rPr>
              <w:t>, J.: Ischemicko-</w:t>
            </w:r>
            <w:proofErr w:type="spellStart"/>
            <w:r w:rsidRPr="00B362BA">
              <w:rPr>
                <w:sz w:val="16"/>
                <w:szCs w:val="16"/>
              </w:rPr>
              <w:t>reperfúzne</w:t>
            </w:r>
            <w:proofErr w:type="spellEnd"/>
            <w:r w:rsidRPr="00B362BA">
              <w:rPr>
                <w:sz w:val="16"/>
                <w:szCs w:val="16"/>
              </w:rPr>
              <w:t xml:space="preserve"> poškodenie a kritická končatinová ischémia. In: Slovenský, roč. 16, č. 5-6, 2006, s. 126-129</w:t>
            </w:r>
          </w:p>
        </w:tc>
      </w:tr>
      <w:tr w:rsidR="002102D2" w:rsidRPr="00B362BA" w14:paraId="0A014F27" w14:textId="77777777" w:rsidTr="00F92BD9">
        <w:trPr>
          <w:trHeight w:val="48"/>
        </w:trPr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14:paraId="444D814B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5.</w:t>
            </w:r>
          </w:p>
        </w:tc>
        <w:tc>
          <w:tcPr>
            <w:tcW w:w="8823" w:type="dxa"/>
            <w:gridSpan w:val="8"/>
            <w:tcBorders>
              <w:right w:val="single" w:sz="12" w:space="0" w:color="auto"/>
            </w:tcBorders>
            <w:vAlign w:val="center"/>
          </w:tcPr>
          <w:p w14:paraId="6C65FDF9" w14:textId="77777777" w:rsidR="002102D2" w:rsidRPr="00B362BA" w:rsidRDefault="002102D2" w:rsidP="00F92BD9">
            <w:pPr>
              <w:spacing w:line="276" w:lineRule="auto"/>
              <w:rPr>
                <w:b/>
                <w:sz w:val="16"/>
                <w:szCs w:val="16"/>
              </w:rPr>
            </w:pPr>
            <w:r w:rsidRPr="00B362BA">
              <w:rPr>
                <w:b/>
                <w:sz w:val="16"/>
                <w:szCs w:val="16"/>
              </w:rPr>
              <w:t xml:space="preserve">Šramková, M.: </w:t>
            </w:r>
            <w:proofErr w:type="spellStart"/>
            <w:r w:rsidRPr="00B362BA">
              <w:rPr>
                <w:b/>
                <w:sz w:val="16"/>
                <w:szCs w:val="16"/>
              </w:rPr>
              <w:t>Diseminovaná</w:t>
            </w:r>
            <w:proofErr w:type="spellEnd"/>
            <w:r w:rsidRPr="00B362BA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b/>
                <w:sz w:val="16"/>
                <w:szCs w:val="16"/>
              </w:rPr>
              <w:t>intravaskulárna</w:t>
            </w:r>
            <w:proofErr w:type="spellEnd"/>
            <w:r w:rsidRPr="00B362BA">
              <w:rPr>
                <w:b/>
                <w:sz w:val="16"/>
                <w:szCs w:val="16"/>
              </w:rPr>
              <w:t xml:space="preserve"> koagulácia, in: Medicínsky monitor, 4., 1998, č.3, s. 32-33</w:t>
            </w:r>
          </w:p>
          <w:p w14:paraId="1FCD3098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Citované (1 x ) v: </w:t>
            </w:r>
          </w:p>
          <w:p w14:paraId="1DCE09DE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</w:p>
          <w:p w14:paraId="045D4A8A" w14:textId="77777777" w:rsidR="002102D2" w:rsidRPr="00B362BA" w:rsidRDefault="002102D2" w:rsidP="00F92BD9">
            <w:pPr>
              <w:spacing w:line="276" w:lineRule="auto"/>
              <w:ind w:left="708"/>
              <w:rPr>
                <w:sz w:val="16"/>
                <w:szCs w:val="16"/>
              </w:rPr>
            </w:pPr>
            <w:r w:rsidRPr="00B362BA">
              <w:rPr>
                <w:sz w:val="16"/>
                <w:szCs w:val="16"/>
              </w:rPr>
              <w:t xml:space="preserve">[o4] Krajčovič, J. - Janík, M. - </w:t>
            </w:r>
            <w:proofErr w:type="spellStart"/>
            <w:r w:rsidRPr="00B362BA">
              <w:rPr>
                <w:sz w:val="16"/>
                <w:szCs w:val="16"/>
              </w:rPr>
              <w:t>Adamicová</w:t>
            </w:r>
            <w:proofErr w:type="spellEnd"/>
            <w:r w:rsidRPr="00B362BA">
              <w:rPr>
                <w:sz w:val="16"/>
                <w:szCs w:val="16"/>
              </w:rPr>
              <w:t xml:space="preserve">, K. - Straka, Ľ. - </w:t>
            </w:r>
            <w:proofErr w:type="spellStart"/>
            <w:r w:rsidRPr="00B362BA">
              <w:rPr>
                <w:sz w:val="16"/>
                <w:szCs w:val="16"/>
              </w:rPr>
              <w:t>Štuller</w:t>
            </w:r>
            <w:proofErr w:type="spellEnd"/>
            <w:r w:rsidRPr="00B362BA">
              <w:rPr>
                <w:sz w:val="16"/>
                <w:szCs w:val="16"/>
              </w:rPr>
              <w:t xml:space="preserve">, F. - </w:t>
            </w:r>
            <w:proofErr w:type="spellStart"/>
            <w:r w:rsidRPr="00B362BA">
              <w:rPr>
                <w:sz w:val="16"/>
                <w:szCs w:val="16"/>
              </w:rPr>
              <w:t>Komáreková</w:t>
            </w:r>
            <w:proofErr w:type="spellEnd"/>
            <w:r w:rsidRPr="00B362BA">
              <w:rPr>
                <w:sz w:val="16"/>
                <w:szCs w:val="16"/>
              </w:rPr>
              <w:t xml:space="preserve">, I. - Novomeský, F.: Úmrtie pri pôrode, embólia plodovou vodou a DIC. In: </w:t>
            </w:r>
            <w:proofErr w:type="spellStart"/>
            <w:r w:rsidRPr="00B362BA">
              <w:rPr>
                <w:sz w:val="16"/>
                <w:szCs w:val="16"/>
              </w:rPr>
              <w:t>Folia</w:t>
            </w:r>
            <w:proofErr w:type="spellEnd"/>
            <w:r w:rsidRPr="00B362BA">
              <w:rPr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</w:rPr>
              <w:t>societatis</w:t>
            </w:r>
            <w:proofErr w:type="spellEnd"/>
            <w:r w:rsidRPr="00B362BA">
              <w:rPr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</w:rPr>
              <w:t>medicinae</w:t>
            </w:r>
            <w:proofErr w:type="spellEnd"/>
            <w:r w:rsidRPr="00B362BA">
              <w:rPr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</w:rPr>
              <w:t>legalis</w:t>
            </w:r>
            <w:proofErr w:type="spellEnd"/>
            <w:r w:rsidRPr="00B362BA">
              <w:rPr>
                <w:sz w:val="16"/>
                <w:szCs w:val="16"/>
              </w:rPr>
              <w:t xml:space="preserve"> </w:t>
            </w:r>
            <w:proofErr w:type="spellStart"/>
            <w:r w:rsidRPr="00B362BA">
              <w:rPr>
                <w:sz w:val="16"/>
                <w:szCs w:val="16"/>
              </w:rPr>
              <w:t>Slovacae</w:t>
            </w:r>
            <w:proofErr w:type="spellEnd"/>
            <w:r w:rsidRPr="00B362BA">
              <w:rPr>
                <w:sz w:val="16"/>
                <w:szCs w:val="16"/>
              </w:rPr>
              <w:t xml:space="preserve">, </w:t>
            </w:r>
            <w:proofErr w:type="spellStart"/>
            <w:r w:rsidRPr="00B362BA">
              <w:rPr>
                <w:sz w:val="16"/>
                <w:szCs w:val="16"/>
              </w:rPr>
              <w:t>vol</w:t>
            </w:r>
            <w:proofErr w:type="spellEnd"/>
            <w:r w:rsidRPr="00B362BA">
              <w:rPr>
                <w:sz w:val="16"/>
                <w:szCs w:val="16"/>
              </w:rPr>
              <w:t>. 3, no. 2, 2013, s. 122-125.</w:t>
            </w:r>
          </w:p>
        </w:tc>
      </w:tr>
      <w:tr w:rsidR="002102D2" w:rsidRPr="00B362BA" w14:paraId="737C8184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46356D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IV.6 Funkcie a členstvo vo vedeckých, odborných a profesijných spoločnostiach</w:t>
            </w:r>
          </w:p>
        </w:tc>
      </w:tr>
      <w:tr w:rsidR="002102D2" w:rsidRPr="00B362BA" w14:paraId="2BD4B3D4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1ACF4" w14:textId="77777777" w:rsidR="002102D2" w:rsidRPr="00B362BA" w:rsidRDefault="002102D2" w:rsidP="00F92BD9">
            <w:pPr>
              <w:rPr>
                <w:i/>
                <w:sz w:val="16"/>
                <w:szCs w:val="16"/>
              </w:rPr>
            </w:pPr>
            <w:r w:rsidRPr="00B362BA">
              <w:rPr>
                <w:i/>
                <w:sz w:val="20"/>
              </w:rPr>
              <w:t xml:space="preserve"> </w:t>
            </w:r>
            <w:r w:rsidRPr="00B362BA">
              <w:rPr>
                <w:i/>
                <w:sz w:val="16"/>
                <w:szCs w:val="16"/>
              </w:rPr>
              <w:t>Slovenská lekárska spoločnosť, Legionárska ul., Bratislava</w:t>
            </w:r>
          </w:p>
        </w:tc>
      </w:tr>
      <w:tr w:rsidR="002102D2" w:rsidRPr="00B362BA" w14:paraId="18FBB45D" w14:textId="77777777" w:rsidTr="00F92BD9">
        <w:trPr>
          <w:trHeight w:val="48"/>
        </w:trPr>
        <w:tc>
          <w:tcPr>
            <w:tcW w:w="921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03A5C8" w14:textId="77777777" w:rsidR="002102D2" w:rsidRPr="00B362BA" w:rsidRDefault="002102D2" w:rsidP="00F92BD9">
            <w:pPr>
              <w:rPr>
                <w:b/>
              </w:rPr>
            </w:pPr>
            <w:r w:rsidRPr="00B362BA">
              <w:rPr>
                <w:b/>
              </w:rPr>
              <w:t>V. Doplňujúce informácie</w:t>
            </w:r>
          </w:p>
        </w:tc>
      </w:tr>
      <w:tr w:rsidR="002102D2" w:rsidRPr="00B362BA" w14:paraId="260740AD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30AF0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sz w:val="16"/>
              </w:rPr>
              <w:t xml:space="preserve">V.1 Charakteristika aktivít súvisiacich s príslušným študijným programom </w:t>
            </w:r>
          </w:p>
        </w:tc>
      </w:tr>
      <w:tr w:rsidR="002102D2" w:rsidRPr="00B362BA" w14:paraId="2DFD11D9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48FC1E" w14:textId="77777777" w:rsidR="002102D2" w:rsidRPr="00B362BA" w:rsidRDefault="002102D2" w:rsidP="00F92BD9">
            <w:pPr>
              <w:rPr>
                <w:i/>
                <w:sz w:val="20"/>
                <w:highlight w:val="yellow"/>
              </w:rPr>
            </w:pPr>
            <w:r w:rsidRPr="00B362BA">
              <w:rPr>
                <w:i/>
                <w:sz w:val="20"/>
              </w:rPr>
              <w:t xml:space="preserve">Garant, vysokoškolský učiteľ vo funkcii docenta  z ošetrovateľstva s odbornou spôsobilosťou na výkon zdravotníckeho povolania, lekár so špecializáciou </w:t>
            </w:r>
            <w:proofErr w:type="spellStart"/>
            <w:r w:rsidRPr="00B362BA">
              <w:rPr>
                <w:i/>
                <w:sz w:val="20"/>
              </w:rPr>
              <w:t>anesteziológia</w:t>
            </w:r>
            <w:proofErr w:type="spellEnd"/>
            <w:r w:rsidRPr="00B362BA">
              <w:rPr>
                <w:i/>
                <w:sz w:val="20"/>
              </w:rPr>
              <w:t xml:space="preserve"> a resuscitácia  I. aj II. stupňa, s 28 ročnou odbornou praxou. V r. 2007-2012 garant záchrannej služby v NsP Bojnice, od r. 1991 lekár RLP</w:t>
            </w:r>
          </w:p>
        </w:tc>
      </w:tr>
      <w:tr w:rsidR="002102D2" w:rsidRPr="00B362BA" w14:paraId="51DE9051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A26A8D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V.2 Ďalšie aktivity</w:t>
            </w:r>
          </w:p>
        </w:tc>
      </w:tr>
      <w:tr w:rsidR="002102D2" w:rsidRPr="00B362BA" w14:paraId="3379DC56" w14:textId="77777777" w:rsidTr="00F92BD9">
        <w:trPr>
          <w:trHeight w:val="48"/>
        </w:trPr>
        <w:tc>
          <w:tcPr>
            <w:tcW w:w="9215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535F3F" w14:textId="77777777" w:rsidR="002102D2" w:rsidRPr="00B362BA" w:rsidRDefault="002102D2" w:rsidP="00F92BD9">
            <w:pPr>
              <w:rPr>
                <w:i/>
                <w:sz w:val="18"/>
                <w:szCs w:val="18"/>
              </w:rPr>
            </w:pPr>
          </w:p>
        </w:tc>
      </w:tr>
      <w:tr w:rsidR="002102D2" w:rsidRPr="00B362BA" w14:paraId="4BB6A7C6" w14:textId="77777777" w:rsidTr="00F92BD9">
        <w:trPr>
          <w:trHeight w:val="48"/>
        </w:trPr>
        <w:tc>
          <w:tcPr>
            <w:tcW w:w="4606" w:type="dxa"/>
            <w:gridSpan w:val="5"/>
            <w:tcBorders>
              <w:left w:val="single" w:sz="12" w:space="0" w:color="auto"/>
            </w:tcBorders>
            <w:vAlign w:val="center"/>
          </w:tcPr>
          <w:p w14:paraId="6506B106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 xml:space="preserve">Dátum poslednej aktualizácie: </w:t>
            </w:r>
          </w:p>
        </w:tc>
        <w:tc>
          <w:tcPr>
            <w:tcW w:w="4609" w:type="dxa"/>
            <w:gridSpan w:val="4"/>
            <w:tcBorders>
              <w:right w:val="single" w:sz="12" w:space="0" w:color="auto"/>
            </w:tcBorders>
            <w:vAlign w:val="center"/>
          </w:tcPr>
          <w:p w14:paraId="4CC20E97" w14:textId="77777777" w:rsidR="002102D2" w:rsidRPr="00B362BA" w:rsidRDefault="002102D2" w:rsidP="00F92BD9">
            <w:pPr>
              <w:rPr>
                <w:b/>
                <w:sz w:val="16"/>
              </w:rPr>
            </w:pPr>
            <w:r w:rsidRPr="00B362BA">
              <w:rPr>
                <w:b/>
                <w:sz w:val="16"/>
              </w:rPr>
              <w:t>28. 9. 2018</w:t>
            </w:r>
          </w:p>
        </w:tc>
      </w:tr>
    </w:tbl>
    <w:p w14:paraId="50DF87B2" w14:textId="77777777" w:rsidR="007512BD" w:rsidRDefault="007512BD"/>
    <w:sectPr w:rsidR="00751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D2"/>
    <w:rsid w:val="002102D2"/>
    <w:rsid w:val="007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3E75"/>
  <w15:chartTrackingRefBased/>
  <w15:docId w15:val="{C1BB2071-4122-4740-9325-FCE39A1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1697</Words>
  <Characters>9676</Characters>
  <Application>Microsoft Office Word</Application>
  <DocSecurity>0</DocSecurity>
  <Lines>80</Lines>
  <Paragraphs>22</Paragraphs>
  <ScaleCrop>false</ScaleCrop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Kristína Ďuricová</dc:creator>
  <cp:keywords/>
  <dc:description/>
  <cp:lastModifiedBy>Ing. Kristína Ďuricová</cp:lastModifiedBy>
  <cp:revision>1</cp:revision>
  <dcterms:created xsi:type="dcterms:W3CDTF">2023-08-01T12:43:00Z</dcterms:created>
  <dcterms:modified xsi:type="dcterms:W3CDTF">2023-08-01T12:43:00Z</dcterms:modified>
</cp:coreProperties>
</file>